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DKS</w:t>
      </w:r>
      <w:r>
        <w:rPr>
          <w:rFonts w:ascii="Calibri" w:hAnsi="Calibri"/>
          <w:b/>
          <w:color w:val="1A2010"/>
          <w:sz w:val="40"/>
        </w:rPr>
        <w:t xml:space="preserve">  DICK'S Sporting Goods, Inc.</w:t>
      </w:r>
    </w:p>
    <w:p>
      <w:pPr>
        <w:spacing w:after="120"/>
      </w:pPr>
      <w:r>
        <w:rPr>
          <w:rFonts w:ascii="Calibri" w:hAnsi="Calibri"/>
          <w:b/>
          <w:color w:val="6E8450"/>
          <w:sz w:val="18"/>
        </w:rPr>
        <w:t>DIVIDEND SLEEVE · 2026-05-01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DICK'S Sporting Goods, Inc. operates as an omni-channel sporting goods retailer primarily in the United States. The company provides hardlines, apparel, footwear, and accessories through its Dick's Sporting Goods, Golf Galaxy, Public Lands, Foot Locker, Champs Sports, WSS, and atmos banners across approximately 2,498 stores worldwide.</w:t>
      </w:r>
    </w:p>
    <w:p>
      <w:r>
        <w:rPr>
          <w:rFonts w:ascii="Calibri" w:hAnsi="Calibri"/>
          <w:b/>
          <w:color w:val="6E8450"/>
          <w:sz w:val="18"/>
        </w:rPr>
        <w:t>31,600 Employees · https://www.dickssportinggoods.com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DKS executed a transformative $2.4B acquisition of Foot Locker in September 2025, evolving from a domestic sporting goods chain into a global sports retail powerhouse with 2,498 stores and $17.2B in combined revenue [1][2]. The House of Sport experiential concept stores and GameChanger youth sports app represent genuine category innovation. AI Deployment (1/2): Launched Eightfold AI-powered 'Elevation Hub' for internal workforce skills assessment and succession planning, but no customer-facing AI products shipping yet [3]. Market Share Leadership (1/2): Dick's has been consistently gaining share in the U.S. sporting goods market, with organic comparable store sales growth of 3.5-4% in FY2025 while competitors struggled [4]. Product Pipeline (1/2): Foot Locker integration roadmap targets $22B revenue by FY2027 with planned store conversions and brand partnership expansions [2]. R&amp;D Intensity (1/1): Above-average investment in experiential retail formats, digital platforms, and omni-channel capabilities relative to specialty retail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Dick's mission centers on being 'the #1 choice for athletes' — clear and identifies the customer, but not deeply distinctive or purpose-driven beyond commercial excellence. The company refers to customers as 'athletes,' reflecting some intentionality. Community &amp; Charitable Impact (2/2): The Dick's Sporting Goods Foundation's Sports Matter program has donated over $100M to youth sports, doubled Community Grants to $6M, and invested $5M in Every Kid Sports to cover registration fees for underserved families [5]. Employee Retention (0/2): No specific retention or tenure data available beyond standard industry metrics. Insider Buying (1/2): Neutral insider activity — transactions in 2025-2026 are primarily equity compensation grants and tax withholdings with no meaningful open-market purchases or sales, suggesting stable but not exceptional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Strong balance sheet with 19.4% ROE and a forward P/E of 14.1x indicating reasonable valuation post-Foot Locker acquisition [7]. Revenue growth of 28% YoY driven by the acquisition, with 12.4% five-year CAGR showing consistent organic momentum. Profit margin of 4.9% is the primary weakness, typical for specialty retail but well below the 20% target. Dividend profile is solid with 16 consecutive years paid, a 48.7% payout ratio, and exceptional 31% five-year dividend growth CAGR, though only 3 consecutive years of growth following COVID-era disruption. D/E of 140% reflects acquisition-related leverage but remains well within the 300%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Dick's demonstrates solid infinite-game characteristics under the Stack-Hobart leadership continuum, with a 76-year operating history and a genuine commitment to youth sports through the Sports Matter Foundation. However, the company's competitive language tends toward market share gains and 'winning,' and the Foot Locker acquisition reflects a growth-through-acquisition strategy that Sinek would view as more finite than organic capability-building.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Dick's purpose of democratizing access to sports and youth athletics through its Sports Matter Foundation — donating over $100M to keep youth sports programs alive — reflects genuine cause beyond profit [5]. Executive Chairman Ed Stack's decision to pull assault-style weapons from stores after the Parkland shooting, sacrificing ~$250M in annual revenue, demonstrates a purpose-driven decision. However, the cause hasn't been tested through a true existential strategic pivot.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Lauren Hobart's promotion from President to CEO in 2021 with Ed Stack moving to Executive Chairman represents smooth leadership continuity. The 'diamond-shaped org chart' philosophy where the CEO ensures direct reports have resources they need suggests collaborative culture [3]. However, the Foot Locker integration involving thousands of new employees presents organizational trust challenges, and no standout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Dick's competitive language focuses on 'gaining share' and becoming the '#1 choice for athletes.' The Foot Locker acquisition eliminated a competitor rather than learning from a rival's strengths. Management discussion centers on market dominance rather than self-improvement through competitive pressure — a finite competitive mindset by Sinek's standard.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$2.4B Foot Locker acquisition represents meaningful strategic evolution from a domestic sporting goods chain to a global multi-banner sports retail platform [1][2]. The earlier decision to exit the firearms category and pivot toward experiential retail (House of Sport) shows willingness to evolve. However, these are incremental adaptations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Ed Stack's post-Parkland decision to stop selling assault-style weapons and raise the minimum gun purchase age to 21 — estimated to have cost $250M in annual revenue — is a clear example of sacrificing short-term earnings for principled leadership [5]. The company doubled down on this by later removing all firearms from 440+ stores. However, no additional examples of counter-consensus long-term bets during recent economic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Dick's Sporting Goods has executed a transformational strategy, evolving from a $13.4B domestic sporting goods retailer to a $17.2B global sports retail platform through its $2.4B Foot Locker acquisition. The combined entity operates 2,498 stores globally with a path to $22B revenue by FY2027 [1][2]. The forward P/E of 14.1x is attractive for a company with consistent organic comp growth of 3.5-4%, a growing dividend, and significant integration synergies ahead. The experiential retail strategy (House of Sport, Golf Galaxy Performance Centers) creates competitive differentiation that pure e-commerce cannot replicate.</w:t>
      </w:r>
    </w:p>
    <w:p>
      <w:pPr>
        <w:spacing w:after="120"/>
      </w:pPr>
      <w:r>
        <w:rPr>
          <w:rFonts w:ascii="Calibri" w:hAnsi="Calibri"/>
          <w:b w:val="0"/>
          <w:color w:val="3A4A28"/>
          <w:sz w:val="20"/>
        </w:rPr>
        <w:t>The bear case centers on integration execution risk — absorbing Foot Locker's 2,500+ stores across 28 countries is a massive operational undertaking that has historically tripped up retailers. Profit margins of 4.9% are razor-thin, and acquisition-related debt (D/E of 140%) limits financial flexibility. Consumer discretionary spending faces headwinds from persistent inflation, and the athletic footwear market is maturing with Nike's direct-to-consumer push potentially squeezing wholesale partners. If integration synergies underdeliver or the consumer weakens, the stock's earnings growth trajectory could disappoint meaningfully against consensus expectations of $16+ 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Foot Locker integration synergies expected to drive $22B revenue by FY2027 with EPS accretion beginning in FY2026</w:t>
      </w:r>
    </w:p>
    <w:p>
      <w:pPr>
        <w:spacing w:before="40" w:after="40"/>
        <w:ind w:left="283"/>
      </w:pPr>
      <w:r>
        <w:rPr>
          <w:rFonts w:ascii="Calibri" w:hAnsi="Calibri"/>
          <w:b/>
          <w:color w:val="4A6B25"/>
          <w:sz w:val="20"/>
        </w:rPr>
        <w:t xml:space="preserve">2. </w:t>
      </w:r>
      <w:r>
        <w:rPr>
          <w:rFonts w:ascii="Calibri" w:hAnsi="Calibri"/>
          <w:b w:val="0"/>
          <w:color w:val="3A4A28"/>
          <w:sz w:val="20"/>
        </w:rPr>
        <w:t>Expansion of House of Sport experiential format to 100+ locations, driving higher per-store revenue and customer engagement</w:t>
      </w:r>
    </w:p>
    <w:p>
      <w:pPr>
        <w:spacing w:before="40" w:after="40"/>
        <w:ind w:left="283"/>
      </w:pPr>
      <w:r>
        <w:rPr>
          <w:rFonts w:ascii="Calibri" w:hAnsi="Calibri"/>
          <w:b/>
          <w:color w:val="4A6B25"/>
          <w:sz w:val="20"/>
        </w:rPr>
        <w:t xml:space="preserve">3. </w:t>
      </w:r>
      <w:r>
        <w:rPr>
          <w:rFonts w:ascii="Calibri" w:hAnsi="Calibri"/>
          <w:b w:val="0"/>
          <w:color w:val="3A4A28"/>
          <w:sz w:val="20"/>
        </w:rPr>
        <w:t>Continued share gains in U.S. sporting goods as experiential retail moat widens against online-only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Foot Locker integration complexity across 28 countries and multiple banners could strain management bandwidth and erode margins during FY2026-2027 transition</w:t>
      </w:r>
    </w:p>
    <w:p>
      <w:pPr>
        <w:spacing w:before="40" w:after="40"/>
        <w:ind w:left="283"/>
      </w:pPr>
      <w:r>
        <w:rPr>
          <w:rFonts w:ascii="Calibri" w:hAnsi="Calibri"/>
          <w:b/>
          <w:color w:val="4A6B25"/>
          <w:sz w:val="20"/>
        </w:rPr>
        <w:t xml:space="preserve">2. </w:t>
      </w:r>
      <w:r>
        <w:rPr>
          <w:rFonts w:ascii="Calibri" w:hAnsi="Calibri"/>
          <w:b w:val="0"/>
          <w:color w:val="3A4A28"/>
          <w:sz w:val="20"/>
        </w:rPr>
        <w:t>Thin 4.9% profit margins leave minimal buffer against consumer spending slowdowns or input cost inflation in the athletic goods supply chain</w:t>
      </w:r>
    </w:p>
    <w:p>
      <w:pPr>
        <w:spacing w:before="40" w:after="40"/>
        <w:ind w:left="283"/>
      </w:pPr>
      <w:r>
        <w:rPr>
          <w:rFonts w:ascii="Calibri" w:hAnsi="Calibri"/>
          <w:b/>
          <w:color w:val="4A6B25"/>
          <w:sz w:val="20"/>
        </w:rPr>
        <w:t xml:space="preserve">3. </w:t>
      </w:r>
      <w:r>
        <w:rPr>
          <w:rFonts w:ascii="Calibri" w:hAnsi="Calibri"/>
          <w:b w:val="0"/>
          <w:color w:val="3A4A28"/>
          <w:sz w:val="20"/>
        </w:rPr>
        <w:t>Nike's accelerating direct-to-consumer strategy may reduce allocation of premium product to wholesale partners, pressuring Dick's brand assortment and traffic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Dick's core business is physical retail — selling sporting goods, footwear, and apparel through 2,498 brick-and-mortar stores with experiential formats like House of Sport that cannot be replicated by AI [1]. The business involves physical inventory, in-store customer experiences, and athletic product fitting that are structurally immune to AI displacement. AI may modestly pressure online comparison shopping but Dick's experiential differentiation and brand partnerships provide strong defensive moats. AI Opportunity (0/1): No meaningful AI-derived revenue. Internal AI use (Eightfold workforce platform) is operational, not revenue-generating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Dick's Sporting Goods Q4 FY2026 Investor Presentation, March 2026</w:t>
      </w:r>
    </w:p>
    <w:p>
      <w:pPr>
        <w:spacing w:before="20" w:after="20"/>
        <w:ind w:left="170"/>
      </w:pPr>
      <w:r>
        <w:rPr>
          <w:rFonts w:ascii="Calibri" w:hAnsi="Calibri"/>
          <w:b/>
          <w:color w:val="4A6B25"/>
          <w:sz w:val="15"/>
        </w:rPr>
        <w:t xml:space="preserve">2. </w:t>
      </w:r>
      <w:r>
        <w:rPr>
          <w:rFonts w:ascii="Calibri" w:hAnsi="Calibri"/>
          <w:b w:val="0"/>
          <w:color w:val="3A4A28"/>
          <w:sz w:val="17"/>
        </w:rPr>
        <w:t>S&amp;P Global Market Intelligence — Dick's Sporting Goods 27% Revenue Jump on Foot Locker Integration, December 2025</w:t>
      </w:r>
    </w:p>
    <w:p>
      <w:pPr>
        <w:spacing w:before="20" w:after="20"/>
        <w:ind w:left="170"/>
      </w:pPr>
      <w:r>
        <w:rPr>
          <w:rFonts w:ascii="Calibri" w:hAnsi="Calibri"/>
          <w:b/>
          <w:color w:val="4A6B25"/>
          <w:sz w:val="15"/>
        </w:rPr>
        <w:t xml:space="preserve">3. </w:t>
      </w:r>
      <w:r>
        <w:rPr>
          <w:rFonts w:ascii="Calibri" w:hAnsi="Calibri"/>
          <w:b w:val="0"/>
          <w:color w:val="3A4A28"/>
          <w:sz w:val="17"/>
        </w:rPr>
        <w:t>Eightfold AI — How Dick's Sporting Goods Uses AI to Elevate Team Skills, 2025</w:t>
      </w:r>
    </w:p>
    <w:p>
      <w:pPr>
        <w:spacing w:before="20" w:after="20"/>
        <w:ind w:left="170"/>
      </w:pPr>
      <w:r>
        <w:rPr>
          <w:rFonts w:ascii="Calibri" w:hAnsi="Calibri"/>
          <w:b/>
          <w:color w:val="4A6B25"/>
          <w:sz w:val="15"/>
        </w:rPr>
        <w:t xml:space="preserve">4. </w:t>
      </w:r>
      <w:r>
        <w:rPr>
          <w:rFonts w:ascii="Calibri" w:hAnsi="Calibri"/>
          <w:b w:val="0"/>
          <w:color w:val="3A4A28"/>
          <w:sz w:val="17"/>
        </w:rPr>
        <w:t>Dick's Sporting Goods Q3 FY2025 Earnings Release, November 2025</w:t>
      </w:r>
    </w:p>
    <w:p>
      <w:pPr>
        <w:spacing w:before="20" w:after="20"/>
        <w:ind w:left="170"/>
      </w:pPr>
      <w:r>
        <w:rPr>
          <w:rFonts w:ascii="Calibri" w:hAnsi="Calibri"/>
          <w:b/>
          <w:color w:val="4A6B25"/>
          <w:sz w:val="15"/>
        </w:rPr>
        <w:t xml:space="preserve">5. </w:t>
      </w:r>
      <w:r>
        <w:rPr>
          <w:rFonts w:ascii="Calibri" w:hAnsi="Calibri"/>
          <w:b w:val="0"/>
          <w:color w:val="3A4A28"/>
          <w:sz w:val="17"/>
        </w:rPr>
        <w:t>Dick's Sporting Goods 2022 Purpose Playbook / Sustainability Report</w:t>
      </w:r>
    </w:p>
    <w:p>
      <w:pPr>
        <w:spacing w:before="20" w:after="20"/>
        <w:ind w:left="170"/>
      </w:pPr>
      <w:r>
        <w:rPr>
          <w:rFonts w:ascii="Calibri" w:hAnsi="Calibri"/>
          <w:b/>
          <w:color w:val="4A6B25"/>
          <w:sz w:val="15"/>
        </w:rPr>
        <w:t xml:space="preserve">6. </w:t>
      </w:r>
      <w:r>
        <w:rPr>
          <w:rFonts w:ascii="Calibri" w:hAnsi="Calibri"/>
          <w:b w:val="0"/>
          <w:color w:val="3A4A28"/>
          <w:sz w:val="17"/>
        </w:rPr>
        <w:t>MarketBeat — DKS Insider Trading Activity,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DKS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