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DLO</w:t>
      </w:r>
      <w:r>
        <w:rPr>
          <w:rFonts w:ascii="Calibri" w:hAnsi="Calibri"/>
          <w:b/>
          <w:color w:val="1A2010"/>
          <w:sz w:val="40"/>
        </w:rPr>
        <w:t xml:space="preserve">  DLocal Limited</w:t>
      </w:r>
    </w:p>
    <w:p>
      <w:pPr>
        <w:spacing w:after="120"/>
      </w:pPr>
      <w:r>
        <w:rPr>
          <w:rFonts w:ascii="Calibri" w:hAnsi="Calibri"/>
          <w:b/>
          <w:color w:val="6E8450"/>
          <w:sz w:val="18"/>
        </w:rPr>
        <w:t>GROWTH SLEEVE · 2026-04-30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Uruguay</w:t>
      </w:r>
    </w:p>
    <w:p>
      <w:pPr>
        <w:spacing w:after="80"/>
      </w:pPr>
      <w:r>
        <w:rPr>
          <w:rFonts w:ascii="Calibri" w:hAnsi="Calibri"/>
          <w:b w:val="0"/>
          <w:color w:val="3A4A28"/>
          <w:sz w:val="20"/>
        </w:rPr>
        <w:t>DLocal is an emerging markets payments technology platform that enables global enterprise merchants to accept and disburse payments in over 40 countries across Africa, Asia, and Latin America. The company processes local payment methods including cards, bank transfers, cash, and alternative payment methods, serving commerce, streaming, ride-hailing, financial services, and gaming industries.</w:t>
      </w:r>
    </w:p>
    <w:p>
      <w:r>
        <w:rPr>
          <w:rFonts w:ascii="Calibri" w:hAnsi="Calibri"/>
          <w:b/>
          <w:color w:val="6E8450"/>
          <w:sz w:val="18"/>
        </w:rPr>
        <w:t>1,274 Employees · https://www.dlocal.com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DLocal has executed an exceptional growth trajectory, scaling from $419M revenue in 2022 to $1.09B in 2025 (crossing the billion-dollar milestone), with TPV hitting $13.1B in Q4 2025 (up 70% YoY) across 40+ emerging market countries [1]. The company has expanded from Latin America into Africa, Asia, and the Middle East, demonstrating successful geographic scaling. AI Deployment (1/2): DLocal has deployed AI automation for fraud detection, transaction routing optimization, and payment method selection across its platform, contributing to margin resilience; however, specific AI revenue figures are not separately quantified [2]. Market Share (2/2): DLocal is the leading independent emerging markets payments platform, processing payments for enterprise merchants including Amazon, Microsoft, Google, Spotify, and Uber across 40+ countries — a scale and geographic breadth that no direct competitor matches in the pay-in/pay-out emerging markets segment [1][2]. Pipeline (1/2): Stablecoin on-ramps, BNPL integration, and AI-powered payment optimization represent next-generation capabilities; the company guided to 50-60% TPV growth in 2026, exceeding consensus estimates of 41% [1]. R&amp;D Intensity (1/1): Technology-first company with continuous investment in local payment method integrations, regulatory compliance automation, and platform scalability across diverse emerging market payment ecosystems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DLocal's stated purpose — to close the payments innovation gap between international businesses and emerging economies — is specific and meaningful, connecting the company's work to financial inclusion for billions of consumers in developing markets [2]. However, it describes the company's commercial activity more than an aspirational future state that inspires sacrifice. Community Impact (1/2): DLocal's platform directly enables financial access for consumers across 40+ emerging market countries, allowing them to participate in the global digital economy through local payment methods; the company's expansion into Africa and Asia has genuine financial inclusion impact [2]. Employee Retention (1/2): The company has a young, ambitious culture with 90%+ of employees preferring hybrid work; the international, decentralized hub model draws talent from around the world, and key co-founders Sebastián Kanovich (CEO) and Sergio Fogel (Co-President/CSO) remain actively involved [2]. Insider Buying (1/2): Co-founders completed a major share purchase and remain key shareholders; the newly announced $300M buyback program and $57M dividend demonstrate capital return commitment, though the company has also faced short-seller allegations that complicate the insider narrative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DLocal's financial profile is outstanding: 65.2% revenue growth YoY, 37.8% 3-year revenue CAGR, 37.2% ROE, and D/E of only 15.9% reflecting a nearly debt-free balance sheet ($843M cash vs. $90M debt) [1][4]. Forward P/E of 12.3x is remarkably low for a 65% revenue growth company, representing a significant discount to fintech peers. Profit margin of 18.0% is solid for a high-growth payments company with 36.8% gross margins. Net income surged 87% YoY to $55.6M in Q4 2025, demonstrating improving operating leverage [1]. The $332M annual free cash flow provides ample capital for the $300M buyback and $57M dividend while self-funding growth [1][4]. TPV of $13.1B (up 70% YoY) and 2026 guidance of 50-60% TPV growth confirm the top-line trajectory. Liquidity floor passes: 1.5M avg volume x $13.40 = $20.6M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DLocal shows elements of infinite game thinking through its long-term commitment to emerging market payments infrastructure and willingness to expand into new geographies and capabilities, but the company's history of fraud allegations and governance controversies undermines the trust foundation essential for an infinite game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DLocal's cause — closing the payments innovation gap between global enterprises and emerging economies — is genuine and connects to financial inclusion for billions of underserved consumers [2]. The company has consistently pursued this cause since its 2016 founding, expanding from Latin America to 40+ countries. However, the cause is commercial rather than transformative, and the fraud allegations cast doubt on whether purpose truly drives corporate behavior.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Co-founder Sebastián Kanovich's continued leadership since 2016 provides stability, and the company's international, decentralized culture with hybrid work flexibility suggests employee empowerment [2]. However, the multiple rounds of short-seller allegations (Muddy Waters 2022, Argentine investigation 2023, Hollenden Square 2025) and associated stock volatility create organizational uncertainty that can erode internal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DLocal positions itself as uniquely dominant in emerging market payments, with language emphasizing 'no direct competitor matches' its scale and geographic breadth [2]. The competitive narrative is focused on superiority rather than learning from rivals like Adyen, Stripe, or MercadoPago, reflecting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DLocal has expanded from pay-in processing to a full-stack payments platform including pay-outs, stablecoin on-ramps, BNPL, and platform-as-a-service capabilities, demonstrating meaningful strategic evolution [1][2]. The geographic expansion from Latin America to Africa and Asia represents genuine market diversification. However, the core business model — processing payments for global merchants in emerging markets — has remained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DLocal's response to the Muddy Waters fraud allegations — commissioning an independent investigation that found allegations 'not substantiated' — was adequate but the company has faced three separate short-seller reports (2022, 2023, 2025), suggesting recurring governance concerns that leadership has not fully resolved [3]. The $300M buyback and $57M dividend signal financial confidence, but courage in Sinek's framework means proactively addressing trust deficits rather than financially engineering around them.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DLocal is the dominant emerging markets payments platform with explosive growth metrics — 65.2% revenue growth, 87% net income growth, and TPV surging 70% to $13.1B in Q4 2025, crossing $1B annual revenue for the first time [1]. At 12.3x forward P/E, the stock is a fraction of fintech peers (Adyen 40x+, Stripe private at higher multiples) despite superior growth. The $843M cash balance (nearly debt-free), $332M annual FCF, and newly announced $300M buyback plus $57M dividend demonstrate financial strength and shareholder return commitment [1][4]. The 2026 guidance of 50-60% TPV growth (beating 41% consensus) signals continued acceleration across 40+ countries. The $3.95B market cap represents a compelling entry point for a high-growth fintech with proven profitability.</w:t>
      </w:r>
    </w:p>
    <w:p>
      <w:pPr>
        <w:spacing w:after="120"/>
      </w:pPr>
      <w:r>
        <w:rPr>
          <w:rFonts w:ascii="Calibri" w:hAnsi="Calibri"/>
          <w:b w:val="0"/>
          <w:color w:val="3A4A28"/>
          <w:sz w:val="20"/>
        </w:rPr>
        <w:t>The bear case revolves around governance and fraud risk: Muddy Waters Research called DLocal 'likely a fraud' in November 2022, the Argentine government investigated a possible $400M fraud in May 2023, and Hollenden Square Research raised money laundering concerns in February 2025 [3]. While independent investigations found allegations 'not substantiated,' the recurring pattern creates a permanent credibility discount and legal liability risk. Emerging market concentration creates currency risk — Brazil, Mexico, and Egypt represent significant revenue exposure to volatile FX environments and potential capital controls. The 18% profit margin, while solid, is below mature payment processors (Visa 50%+, Adyen 25%+), and take rates face secular pressure as competition intensifies in higher-margin emerging markets. The company's Uruguay domicile creates jurisdictional complexity for shareholder protections, and the dual-class share structure limits minority shareholder governance rights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TPV growth of 50-60% (beating 41% consensus), driven by expansion in Africa and Asia and deepening penetration with existing enterprise merchants like Amazon, Microsoft, and Google [1]</w:t>
      </w:r>
    </w:p>
    <w:p>
      <w:pPr>
        <w:spacing w:before="40" w:after="40"/>
        <w:ind w:left="283"/>
      </w:pPr>
      <w:r>
        <w:rPr>
          <w:rFonts w:ascii="Calibri" w:hAnsi="Calibri"/>
          <w:b/>
          <w:color w:val="4A6B25"/>
          <w:sz w:val="20"/>
        </w:rPr>
        <w:t xml:space="preserve">2. </w:t>
      </w:r>
      <w:r>
        <w:rPr>
          <w:rFonts w:ascii="Calibri" w:hAnsi="Calibri"/>
          <w:b w:val="0"/>
          <w:color w:val="3A4A28"/>
          <w:sz w:val="20"/>
        </w:rPr>
        <w:t>New $300M share buyback program and $57M annual dividend, initiating material capital returns that could attract income-oriented investors to the high-growth story [1]</w:t>
      </w:r>
    </w:p>
    <w:p>
      <w:pPr>
        <w:spacing w:before="40" w:after="40"/>
        <w:ind w:left="283"/>
      </w:pPr>
      <w:r>
        <w:rPr>
          <w:rFonts w:ascii="Calibri" w:hAnsi="Calibri"/>
          <w:b/>
          <w:color w:val="4A6B25"/>
          <w:sz w:val="20"/>
        </w:rPr>
        <w:t xml:space="preserve">3. </w:t>
      </w:r>
      <w:r>
        <w:rPr>
          <w:rFonts w:ascii="Calibri" w:hAnsi="Calibri"/>
          <w:b w:val="0"/>
          <w:color w:val="3A4A28"/>
          <w:sz w:val="20"/>
        </w:rPr>
        <w:t>Stablecoin on-ramp and BNPL product launches expanding the addressable market beyond traditional card and bank transfer payments in emerging economies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Recurring fraud and governance allegations — three separate short-seller reports since 2022 create permanent credibility discount and class action lawsuit liability (ongoing Eastern District NY case) [3]</w:t>
      </w:r>
    </w:p>
    <w:p>
      <w:pPr>
        <w:spacing w:before="40" w:after="40"/>
        <w:ind w:left="283"/>
      </w:pPr>
      <w:r>
        <w:rPr>
          <w:rFonts w:ascii="Calibri" w:hAnsi="Calibri"/>
          <w:b/>
          <w:color w:val="4A6B25"/>
          <w:sz w:val="20"/>
        </w:rPr>
        <w:t xml:space="preserve">2. </w:t>
      </w:r>
      <w:r>
        <w:rPr>
          <w:rFonts w:ascii="Calibri" w:hAnsi="Calibri"/>
          <w:b w:val="0"/>
          <w:color w:val="3A4A28"/>
          <w:sz w:val="20"/>
        </w:rPr>
        <w:t>Emerging market currency and regulatory risk — concentration in Brazil, Mexico, Egypt, and Argentina exposes revenue to FX volatility, capital controls, and sudden regulatory changes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Adyen, Stripe, and MercadoPago entering emerging markets with superior brand credibility and deeper pockets, potentially compressing DLocal's take rates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Payments processing faces moderate AI exposure — while the physical infrastructure of local payment method integration and regulatory compliance in 40+ countries creates meaningful barriers, AI could potentially automate payment routing and fraud detection commoditizing DLocal's technology layer [2]. New entrants could use AI to accelerate local payment method integrations that currently take DLocal years to build. However, the regulatory complexity across emerging markets, local banking relationships, and payment method fragmentation create moats that AI alone cannot easily replicate. AI Opportunity (1/1): DLocal actively deploys AI for transaction routing optimization, fraud detection, and payment method selection, contributing to margin efficiency; the company cited AI automation as a driver of margin resilience in recent results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DLocal Q4 2025 Earnings — $337.9M revenue (65% YoY), $1.09B full-year, $13.1B TPV, $300M buyback, $57M dividend; 2026 guidance 50-60% TPV growth, March 2026</w:t>
      </w:r>
    </w:p>
    <w:p>
      <w:pPr>
        <w:spacing w:before="20" w:after="20"/>
        <w:ind w:left="170"/>
      </w:pPr>
      <w:r>
        <w:rPr>
          <w:rFonts w:ascii="Calibri" w:hAnsi="Calibri"/>
          <w:b/>
          <w:color w:val="4A6B25"/>
          <w:sz w:val="15"/>
        </w:rPr>
        <w:t xml:space="preserve">2. </w:t>
      </w:r>
      <w:r>
        <w:rPr>
          <w:rFonts w:ascii="Calibri" w:hAnsi="Calibri"/>
          <w:b w:val="0"/>
          <w:color w:val="3A4A28"/>
          <w:sz w:val="17"/>
        </w:rPr>
        <w:t>DLocal corporate — emerging market payments platform, 40+ countries, AI automation, stablecoin/BNPL innovation; leadership team profiles,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DLocal fraud allegations — Muddy Waters (November 2022), Argentine $400M investigation (May 2023), Hollenden Square Research (February 2025); class action lawsuit Eastern District NY; independent investigation findings,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DLO, accessed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