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DNLI</w:t>
      </w:r>
      <w:r>
        <w:rPr>
          <w:rFonts w:ascii="Calibri" w:hAnsi="Calibri"/>
          <w:b/>
          <w:color w:val="1A2010"/>
          <w:sz w:val="40"/>
        </w:rPr>
        <w:t xml:space="preserve">  Denali Therapeutics Inc.</w:t>
      </w:r>
    </w:p>
    <w:p>
      <w:pPr>
        <w:spacing w:after="120"/>
      </w:pPr>
      <w:r>
        <w:rPr>
          <w:rFonts w:ascii="Calibri" w:hAnsi="Calibri"/>
          <w:b/>
          <w:color w:val="6E8450"/>
          <w:sz w:val="18"/>
        </w:rPr>
        <w:t>GROWTH SLEEVE · 2026-04-23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Denali Therapeutics Inc. is a biopharmaceutical company that discovers and develops therapeutics for neurodegenerative and lysosomal storage diseases. The company's proprietary Transport Vehicle (TV) platform enables blood-brain barrier crossing, with lead product AVLAYAH (tividenofusp alfa) approved by FDA in March 2026 for Hunter syndrome. Pipeline includes programs in Parkinson's disease, frontotemporal dementia, and Sanfilippo syndrome.</w:t>
      </w:r>
    </w:p>
    <w:p>
      <w:r>
        <w:rPr>
          <w:rFonts w:ascii="Calibri" w:hAnsi="Calibri"/>
          <w:b/>
          <w:color w:val="6E8450"/>
          <w:sz w:val="18"/>
        </w:rPr>
        <w:t>503 Employees · https://www.denalitherapeutics.com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Denali achieved FDA accelerated approval of AVLAYAH for Hunter syndrome on March 25, 2026 -- the first product approved to address neurologic complications of this rare disease -- representing a transformative milestone for the company and the rare disease community [1]. The proprietary Transport Vehicle (TV) platform that enables blood-brain barrier crossing is a genuine scientific breakthrough. AI Deployment (1/2): Denali partnered with PharmEnable to discover AI-based small molecule candidates for neurological diseases, representing early-stage AI integration into the drug discovery pipeline [2]. Market Share (1/2): AVLAYAH is the only approved treatment for neurologic manifestations of Hunter syndrome, creating a monopoly position in this rare disease (~500 US patients), with analyst projections of $250M+ peak US sales and worldwide revenue approaching $1B [1]. Pipeline (2/2): Robust pipeline with specific 2026 milestones: PDUFA date achieved (AVLAYAH approved March 2026), initial FTD-GRN patient data for DNL593, Phase 2b LUMA readout for BIIB122 in Parkinson's, Phase 2 eclitasertib results in ulcerative colitis, and DNL952 Phase 1 restarting after clinical hold lifted [1]. R&amp;D Intensity (1/1): Denali spent over $500M in 2025 on R&amp;D as a percentage of its total spend, placing it among the most R&amp;D-intensive companies in biotech relative to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Denali's mission is 'to defeat neurodegeneration,' a specific, bold, and idealistic purpose that connects the company's work to patients suffering from devastating brain diseases. Co-founder and CEO Ryan Watts described the AVLAYAH approval as his 'greatest professional moment,' demonstrating deep personal connection to the mission [1][2]. Community Impact (1/2): AVLAYAH launch provides first treatment for neurologic complications of Hunter syndrome for ~500 US patients, representing genuine community impact for a severely underserved rare disease population. Pricing at $5,200 per vial reflects rare disease economics [1]. Employee Retention (1/2): CEO Ryan Watts has led Denali since founding in 2015 (10.6-year tenure). Glassdoor rates culture and values at 4.0/5 with 80% recommendation rate, though some reviews cite high workload expectations ('what would take 1 month at any other biotech is expected in 1 week') [2]. Insider Buying (1/2): Recent SEC filings show new CMO receiving a 170,612-share equity stake, and the company completed a ~$200M equity offering, suggesting management believes in the long-term story despite near-term losses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Denali's infrastructure score reflects the reality of a development-stage biotech that just received its first FDA approval. The company reported a net loss of $512.5M in 2025 (widening from $422.8M in 2024), with zero product revenue for the year and no profit margin [1][4]. ROE of -45.7% reflects accumulated losses typical of pre-commercial biotech. The lone bright spot is D/E of just 4.2%, reflecting a nearly debt-free balance sheet with $966.2M in cash (bolstered by $275M Royalty Pharma deal and ~$200M equity offering), providing approximately 2 years of runway at current burn rates [1]. Forward P/E is negative (-7.8x) as the company is not expected to reach profitability in the near term [4]. Revenue growth, profit margin, and PEG metrics are all unavailable for a pre-revenue company, limiting the scoring to available metrics only. Liquidity floor cleared: 1.72M avg vol x $20.25 = $34.9M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Denali under co-founder CEO Ryan Watts demonstrates genuine infinite game thinking through its decade-long commitment to defeating neurodegeneration, patience through years of pre-revenue R&amp;D, and the principled decision to focus on devastating diseases with small patient populations rather than chasing larger commercial markets. The AVLAYAH approval validates this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Denali's mission to 'defeat neurodegeneration' is specific, bold, and idealistic -- describing a future state (a world without devastating brain diseases) that is so big it can never be fully achieved. CEO Watts has pursued this cause for 10+ years through $2B+ in cumulative investment with no revenue, and the AVLAYAH approval validates the science behind the cause. However, the mission hasn't survived a leadership transition or major strategic crisis, as the company is still led by its founding team. Score: 2 points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culture/values score of 4.0/5 with 80% recommendation rate suggests above-average employee satisfaction for biotech. However, reviews also cite extremely high workload expectations and some leadership concerns, indicating a demanding environment that may not consistently maintain psychological safety across the organization. The founding team's 10+ year continuity provides stability. Score: 1 point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Denali's competitive positioning focuses on the uniqueness of its TV platform and scientific advantages rather than explicitly learning from rivals. While Takeda's exit from their partnership was handled constructively (Denali regained full rights to DNL593), the company's competitive language centers on its own proprietary advantages rather than acknowledging and learning from competitor strengths. Score: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 has demonstrated strategic flexibility by spinning out its small molecule pipeline to focus on its TV biologics platform, and by pivoting from collaboration-dependent to independent development after Takeda's exit. Regaining full rights to DNL593 and raising capital independently ($275M Royalty Pharma, ~$200M equity) show willingness to restructure the business model when partnerships end. Score: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Denali invested over $2B cumulatively through a decade of pre-revenue development, choosing to focus on rare neurodegenerative diseases with small addressable markets rather than pursuing larger, more commercially attractive indications. Pricing AVLAYAH at $5,200/vial for ~500 US patients shows commitment to an underserved population over commercial maximization. Score: 1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Denali Therapeutics achieved a transformative milestone with FDA accelerated approval of AVLAYAH for Hunter syndrome on March 25, 2026 -- the first treatment addressing neurologic complications of this devastating rare disease [1]. The proprietary Transport Vehicle platform for blood-brain barrier crossing represents a genuine scientific breakthrough with broad pipeline applications across neurodegenerative diseases. With $966.2M in cash, a robust pipeline (DNL593 in FTD, BIIB122 in Parkinson's, eclitasertib in UC), and multiple 2026 data catalysts, Denali is transitioning from development-stage to commercial-stage biotech [1]. Analysts project peak AVLAYAH sales exceeding $250M in the US alone, with worldwide revenue approaching $1B, providing a foundation for pipeline investment.</w:t>
      </w:r>
    </w:p>
    <w:p>
      <w:pPr>
        <w:spacing w:after="120"/>
      </w:pPr>
      <w:r>
        <w:rPr>
          <w:rFonts w:ascii="Calibri" w:hAnsi="Calibri"/>
          <w:b w:val="0"/>
          <w:color w:val="3A4A28"/>
          <w:sz w:val="20"/>
        </w:rPr>
        <w:t>The bear case reflects the fundamental risk profile of an early-commercial biotech. Denali lost $512.5M in 2025 and is not expected to reach profitability for several years, with forward P/E of -7.8x confirming the market expects continued losses [4]. AVLAYAH's addressable market is small (~500 US patients), and peak sales projections of $250M+ depend on diagnosis rates, reimbursement, and confirmatory trial success required for full approval [1]. The $966.2M cash position provides ~2 years of runway at current burn rates, creating potential dilution risk if pipeline setbacks delay commercial revenue ramp [1]. Leerink Partners recently cut the price target to $35, reflecting uncertainty about near-term catalysts [2]. Pipeline risk is concentrated -- failure of DNL593 in FTD or BIIB122 in Parkinson's would significantly reduce the platform's perceived value. ROE of -45.7% and zero profit margin underscore the pre-profitability reality that could persist for years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commercial launch in Q2 2026 following March 25 FDA approval, with early adoption metrics expected to set revenue trajectory toward $250M+ peak US sales [1]</w:t>
      </w:r>
    </w:p>
    <w:p>
      <w:pPr>
        <w:spacing w:before="40" w:after="40"/>
        <w:ind w:left="283"/>
      </w:pPr>
      <w:r>
        <w:rPr>
          <w:rFonts w:ascii="Calibri" w:hAnsi="Calibri"/>
          <w:b/>
          <w:color w:val="4A6B25"/>
          <w:sz w:val="20"/>
        </w:rPr>
        <w:t xml:space="preserve">2. </w:t>
      </w:r>
      <w:r>
        <w:rPr>
          <w:rFonts w:ascii="Calibri" w:hAnsi="Calibri"/>
          <w:b w:val="0"/>
          <w:color w:val="3A4A28"/>
          <w:sz w:val="20"/>
        </w:rPr>
        <w:t>Phase 2b LUMA readout for BIIB122 in Parkinson's disease in 2026 -- a positive result in a large addressable market would transform the company's commercial potential [1]</w:t>
      </w:r>
    </w:p>
    <w:p>
      <w:pPr>
        <w:spacing w:before="40" w:after="40"/>
        <w:ind w:left="283"/>
      </w:pPr>
      <w:r>
        <w:rPr>
          <w:rFonts w:ascii="Calibri" w:hAnsi="Calibri"/>
          <w:b/>
          <w:color w:val="4A6B25"/>
          <w:sz w:val="20"/>
        </w:rPr>
        <w:t xml:space="preserve">3. </w:t>
      </w:r>
      <w:r>
        <w:rPr>
          <w:rFonts w:ascii="Calibri" w:hAnsi="Calibri"/>
          <w:b w:val="0"/>
          <w:color w:val="3A4A28"/>
          <w:sz w:val="20"/>
        </w:rPr>
        <w:t>Initial FTD-GRN patient data for DNL593 in 2026 following Denali regaining full rights from Takeda, providing first clinical validation of TV platform in frontotemporal dementia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addressable market of ~500 US Hunter syndrome patients limits near-term revenue scale, and peak sales depend on confirmatory trial success for full FDA approval [1]</w:t>
      </w:r>
    </w:p>
    <w:p>
      <w:pPr>
        <w:spacing w:before="40" w:after="40"/>
        <w:ind w:left="283"/>
      </w:pPr>
      <w:r>
        <w:rPr>
          <w:rFonts w:ascii="Calibri" w:hAnsi="Calibri"/>
          <w:b/>
          <w:color w:val="4A6B25"/>
          <w:sz w:val="20"/>
        </w:rPr>
        <w:t xml:space="preserve">2. </w:t>
      </w:r>
      <w:r>
        <w:rPr>
          <w:rFonts w:ascii="Calibri" w:hAnsi="Calibri"/>
          <w:b w:val="0"/>
          <w:color w:val="3A4A28"/>
          <w:sz w:val="20"/>
        </w:rPr>
        <w:t>Net loss of $512.5M in 2025 with $966.2M in cash creates ~2-year runway, risking dilutive financing if pipeline milestones are delayed [1][4]</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 failure of DNL593 or BIIB122 clinical trials would significantly reduce perceived platform value and stock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Biopharmaceutical drug development and commercialization involves deeply regulated clinical processes, complex biological manufacturing, and patient-specific medical interventions that AI cannot replace. FDA regulatory pathways, GMP manufacturing of biologics like AVLAYAH, and physician-patient treatment relationships create structural moats against AI substitution [1]. However, AI is reshaping drug discovery (faster target identification, molecule optimization, clinical trial design) in ways that could benefit well-capitalized competitors and accelerate competitive entries into Denali's therapeutic areas. Denali's proprietary TV platform for blood-brain barrier crossing is a biological moat that AI-driven competitors would still need to replicate. AI Opportunity (1/1): Denali's partnership with PharmEnable demonstrates active AI integration into drug discovery, using AI-based approaches to identify small molecule candidates for neurological diseases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Denali Therapeutics FY2025 Results and AVLAYAH FDA Approval -- $512.5M net loss, $966.2M cash, March 25 2026 FDA approval for Hunter syndrome,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PharmEnable AI Partnership, Leerink Price Target -- culture rating 4.0/5, AI drug discovery collaboration, $35 target,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Assessment, Denali Proxy Statement -- weak ESG risk management, board structure,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DNLI (Denali Therapeutics),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