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DNOW</w:t>
      </w:r>
      <w:r>
        <w:rPr>
          <w:rFonts w:ascii="Calibri" w:hAnsi="Calibri"/>
          <w:b/>
          <w:color w:val="1A2010"/>
          <w:sz w:val="40"/>
        </w:rPr>
        <w:t xml:space="preserve">  DNOW Inc.</w:t>
      </w:r>
    </w:p>
    <w:p>
      <w:pPr>
        <w:spacing w:after="120"/>
      </w:pPr>
      <w:r>
        <w:rPr>
          <w:rFonts w:ascii="Calibri" w:hAnsi="Calibri"/>
          <w:b/>
          <w:color w:val="6E8450"/>
          <w:sz w:val="18"/>
        </w:rPr>
        <w:t>GROWTH SLEEVE · 2026-04-09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DNOW is a global distributor of pipes, valves, fittings, pumps, and other energy and industrial products, serving upstream, midstream, downstream, and industrial end markets from 210+ locations across 20+ countries. The company merged with MRC Global in November 2025, creating a combined platform with approximately $2.8B in annual revenue and enhanced scale in energy infrastructure distribution.</w:t>
      </w:r>
    </w:p>
    <w:p>
      <w:r>
        <w:rPr>
          <w:rFonts w:ascii="Calibri" w:hAnsi="Calibri"/>
          <w:b/>
          <w:color w:val="6E8450"/>
          <w:sz w:val="18"/>
        </w:rPr>
        <w:t>4,945 Employees · https://www.dnow.com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DNOW executed a transformative merger with MRC Global in November 2025, creating the largest energy distribution platform in North America with $2.8B revenue and projected $23M first-year cost savings (35% above the $17M target) [1]. The company also rebranded from NOW Inc. to DNOW Inc. in January 2024 as part of its strategic repositioning. AI Deployment (1/2): DNOW's DigitalNOW ecommerce platform provides digital commerce, data management, and inventory optimization tools, described by CEO Cherechinsky as 'market-disruptive' — while not pure AI, it represents meaningful digital transformation for an industrial distributor [3]. Market Share (1/2): The MRC Global merger significantly expanded DNOW's market position, but the pipe-valve-fitting distribution market remains highly fragmented with no single player commanding dominant share [1]. Pipeline (1/2): Management identified growth opportunities in natural gas infrastructure expansion, LNG terminals, power generation, and data center construction as structural tailwinds, though these are market opportunities rather than proprietary product launches [1]. R&amp;D Intensity (0/1): As a distributor, DNOW does not invest in traditional R&amp;D; innovation is primarily in digital commerce and supply chain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DNOW positions itself as a partner enabling energy and industrial infrastructure through distribution excellence and digital transformation. The mission is clear and identifies the company's role but lacks aspirational depth — it describes supply chain efficiency rather than a transformative purpose [3]. Community Impact (1/2): DNOW has maintained a formal environmental policy, participates in ESG reporting aligned with SASB and TCFD frameworks, and sells products designed to reduce environmental impact including leak detection and emissions monitoring equipment [4]. Employee Retention (1/2): Cassandra Munson, Chief Administrative and Information Officer, oversees organizational development and talent management programs spanning 16 years, suggesting institutional investment in employee development [3]. The company's 4,945 employees benefit from the scale of the merged entity. Insider Buying (0/2): No evidence of significant net insider buying. The company spent $37M on share repurchases in 2025, but this is a corporate program rather than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DNOW's financials are transitional following the MRC Global merger. D/E of 27.4% is conservative despite $411M in long-term debt, reflecting the merged entity's balance sheet strength [1]. The GAAP net loss of -$89M (-$0.76/share) was driven by merger-related charges, masking adjusted profitability — adjusted net income was $104M ($0.86/share) and adjusted EBITDA was $209M at 7.4% margin [1]. Revenue of $2.82B grew 18.8% annually (2024 to 2025) with the MRC merger contributing Q4 growth. Forward P/E of 11.8x reflects reasonable valuation for expected earnings normalization [5]. Operating cash flow of $155M and $164M cash on hand with $588M total liquidity provide financial flexibility [1]. The adjusted gross margin of 23.1% is healthy for an industrial distributor. Profit margin is negative on a GAAP basis due to one-time charges. Liquidity floor cleared: 3.28M avg volume × $12.30 = $40.3M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DNOW demonstrates moderate infinite game characteristics through its 160+ year history (founded 1862) and strategic patience in executing the MRC Global merger to build enduring scale. The company's pivot toward digital distribution and energy transition infrastructure shows forward thinking, but the purpose remains functional rather than inspirational, and the recent merger is too early to judge as a validated long-term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DNOW's purpose is enabling energy and industrial infrastructure through distribution excellence. While this serves a necessary societal function — maintaining the physical infrastructure that powers the economy — it lacks the aspirational quality Sinek would demand of a Just Cause [3]. The company's longevity (founded 1862) suggests endurance, but the frequent renamings (NOW Inc. → DNOW) and strategy shifts suggest the cause has not been the consistent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David Cherechinsky has led since June 2020 after serving as CFO, providing leadership continuity through the company's transformation. The dedicated Chief Administrative and Information Officer role overseeing organizational development suggests institutional investment in people [3]. The successful MRC Global integration requiring coordination across 4,945 employees and 210+ locations demonstrates organizational capability, but post-merger integration inherently creates uncertainty for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MRC Global merger was partly motivated by the need to compete against larger, better-scaled distributors in a fragmenting market. Management frames the combination as improving service capability rather than eliminating a competitor [1]. DNOW's DigitalNOW platform was explicitly described as responding to evolving customer expectations around digital commerce.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DNOW has evolved from a pure oil-and-gas distributor to a broader energy and industrial platform, adding data center, LNG, water/wastewater, and renewable energy end markets [1]. The MRC Global merger represents a significant strategic pivot toward scale in energy transition infrastructure. However, the core business model (physical distribution) remains unchanged — the flexibility has been in market diversification rather than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acquire MRC Global in 2025 during an uncertain energy market was a bold bet on scale and synergies, committing to $411M in debt while projecting $70M in three-year cost savings [1]. CEO Cherechinsky invested in the DigitalNOW platform during the 2020 energy downturn when many distributors were cutting costs, prioritizing digital transformation over short-term margins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DNOW is a newly scaled energy distribution platform following the November 2025 MRC Global merger, creating a $2.8B revenue business with 210+ locations and leading market positions in pipes, valves, and fittings for energy infrastructure. Adjusted EBITDA of $209M (7.4% margin) with $23M first-year cost savings (35% above target) demonstrates early integration success, and management expects $70M in total synergies within three years [1]. At 11.8x forward P/E, the stock is inexpensively valued for a company positioned to benefit from structural tailwinds in natural gas infrastructure, LNG terminals, data centers, and power generation buildout. Operating cash flow of $155M, $164M cash, and $588M total liquidity provide financial flexibility to execute the integration and return capital through the $37M share repurchase program [1].</w:t>
      </w:r>
    </w:p>
    <w:p>
      <w:pPr>
        <w:spacing w:after="120"/>
      </w:pPr>
      <w:r>
        <w:rPr>
          <w:rFonts w:ascii="Calibri" w:hAnsi="Calibri"/>
          <w:b w:val="0"/>
          <w:color w:val="3A4A28"/>
          <w:sz w:val="20"/>
        </w:rPr>
        <w:t>The bear case centers on energy cycle exposure and integration risk. DNOW's GAAP net loss of -$89M reflects $147M in merger-related charges, and the underlying profit margin of -3.2% raises questions about when normalized profitability will emerge [1]. The upstream segment faces flat-to-declining activity levels, and management characterized 2026 organic revenue as 'flattish' — meaning growth depends on synergies and new end markets rather than core demand [1]. The $411M debt load is manageable but represents a significant increase for a company that was previously debt-free, adding financial risk in a cyclical industry. ROE of -5.2% reflects the current unprofitability, and the energy distribution market remains highly fragmented with low barriers to entry. The stock's 68% reported revenue growth is almost entirely acquisition-driven rather than organic, and post-merger integration across 4,945 employees and 210+ locations carries execution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MRC Global integration synergies — $23M in year-one savings already 35% above target, with $70M three-year total creating margin expansion from the 7.4% adjusted EBITDA baseline [1]</w:t>
      </w:r>
    </w:p>
    <w:p>
      <w:pPr>
        <w:spacing w:before="40" w:after="40"/>
        <w:ind w:left="283"/>
      </w:pPr>
      <w:r>
        <w:rPr>
          <w:rFonts w:ascii="Calibri" w:hAnsi="Calibri"/>
          <w:b/>
          <w:color w:val="4A6B25"/>
          <w:sz w:val="20"/>
        </w:rPr>
        <w:t xml:space="preserve">2. </w:t>
      </w:r>
      <w:r>
        <w:rPr>
          <w:rFonts w:ascii="Calibri" w:hAnsi="Calibri"/>
          <w:b w:val="0"/>
          <w:color w:val="3A4A28"/>
          <w:sz w:val="20"/>
        </w:rPr>
        <w:t>Energy infrastructure buildout — LNG terminals, natural gas pipelines, data centers, and power generation facilities driving incremental demand for pipes, valves, and fittings [1]</w:t>
      </w:r>
    </w:p>
    <w:p>
      <w:pPr>
        <w:spacing w:before="40" w:after="40"/>
        <w:ind w:left="283"/>
      </w:pPr>
      <w:r>
        <w:rPr>
          <w:rFonts w:ascii="Calibri" w:hAnsi="Calibri"/>
          <w:b/>
          <w:color w:val="4A6B25"/>
          <w:sz w:val="20"/>
        </w:rPr>
        <w:t xml:space="preserve">3. </w:t>
      </w:r>
      <w:r>
        <w:rPr>
          <w:rFonts w:ascii="Calibri" w:hAnsi="Calibri"/>
          <w:b w:val="0"/>
          <w:color w:val="3A4A28"/>
          <w:sz w:val="20"/>
        </w:rPr>
        <w:t>Earnings normalization as merger-related charges dissipate, potentially driving GAAP profitability in 2026 and unlocking the 11.8x forward P/E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Post-merger integration execution risk — combining DNOW and MRC Global across 210+ locations and 4,945 employees with different systems, cultures, and customer relationships [1]</w:t>
      </w:r>
    </w:p>
    <w:p>
      <w:pPr>
        <w:spacing w:before="40" w:after="40"/>
        <w:ind w:left="283"/>
      </w:pPr>
      <w:r>
        <w:rPr>
          <w:rFonts w:ascii="Calibri" w:hAnsi="Calibri"/>
          <w:b/>
          <w:color w:val="4A6B25"/>
          <w:sz w:val="20"/>
        </w:rPr>
        <w:t xml:space="preserve">2. </w:t>
      </w:r>
      <w:r>
        <w:rPr>
          <w:rFonts w:ascii="Calibri" w:hAnsi="Calibri"/>
          <w:b w:val="0"/>
          <w:color w:val="3A4A28"/>
          <w:sz w:val="20"/>
        </w:rPr>
        <w:t>Energy cycle downturn — upstream activity flat to declining, and a broader recession could reduce midstream and industrial capex budgets [1]</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in a fragmented distribution market where competitors can undercut on price and the 23.1% adjusted gross margin depends on product mix and supplier terms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DNOW's core business — distributing physical pipes, valves, fittings, and industrial equipment from 210+ locations to energy infrastructure customers — is highly immune to AI disruption. The business requires physical warehousing, logistics, technical product knowledge, and on-site support that AI cannot substitute [3]. The energy infrastructure buildout for LNG terminals, data centers, and power generation creates structural demand that AI actually amplifies (data centers need massive physical infrastructure). However, AI could improve competitors' inventory management and digital commerce, potentially reducing DNOW's distribution advantage. AI Opportunity (1/1): DNOW's DigitalNOW ecommerce platform leverages digital tools for inventory optimization, order management, and supply chain analytics, generating measurable efficiency gains across the distribution network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DNOW Q4 and Full-Year 2025 Earnings Release — $2.82B revenue, -$89M GAAP net loss, $209M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DNOW Q4 2025 Earnings Call — 2026 outlook, organic growth characterization, end market commentary, February 2026</w:t>
      </w:r>
    </w:p>
    <w:p>
      <w:pPr>
        <w:spacing w:before="20" w:after="20"/>
        <w:ind w:left="170"/>
      </w:pPr>
      <w:r>
        <w:rPr>
          <w:rFonts w:ascii="Calibri" w:hAnsi="Calibri"/>
          <w:b/>
          <w:color w:val="4A6B25"/>
          <w:sz w:val="15"/>
        </w:rPr>
        <w:t xml:space="preserve">3. </w:t>
      </w:r>
      <w:r>
        <w:rPr>
          <w:rFonts w:ascii="Calibri" w:hAnsi="Calibri"/>
          <w:b w:val="0"/>
          <w:color w:val="3A4A28"/>
          <w:sz w:val="17"/>
        </w:rPr>
        <w:t>DNOW Corporate Website — CEO David Cherechinsky, DigitalNOW platform, management team,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DNOW Sustainability Report — ESG governance framework, environmental policy, SASB/TCFD alignment,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DNOW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