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DNTH</w:t>
      </w:r>
      <w:r>
        <w:rPr>
          <w:rFonts w:ascii="Calibri" w:hAnsi="Calibri"/>
          <w:b/>
          <w:color w:val="1A2010"/>
          <w:sz w:val="40"/>
        </w:rPr>
        <w:t xml:space="preserve">  Dianthus Therapeutics, Inc.</w:t>
      </w:r>
    </w:p>
    <w:p>
      <w:pPr>
        <w:spacing w:after="120"/>
      </w:pPr>
      <w:r>
        <w:rPr>
          <w:rFonts w:ascii="Calibri" w:hAnsi="Calibri"/>
          <w:b/>
          <w:color w:val="6E8450"/>
          <w:sz w:val="18"/>
        </w:rPr>
        <w:t>GROWTH SLEEVE · 2026-05-05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Dianthus Therapeutics is a clinical-stage biotechnology company developing claseprubart, a next-generation anti-C1s monoclonal antibody, for severe autoimmune and neurological diseases including Chronic Inflammatory Demyelinating Polyneuropathy (CIDP), generalized Myasthenia Gravis (gMG), and Multifocal Motor Neuropathy (MMN).</w:t>
      </w:r>
    </w:p>
    <w:p>
      <w:r>
        <w:rPr>
          <w:rFonts w:ascii="Calibri" w:hAnsi="Calibri"/>
          <w:b/>
          <w:color w:val="6E8450"/>
          <w:sz w:val="18"/>
        </w:rPr>
        <w:t>https://dianthustx.com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Dianthus has advanced claseprubart from early clinical development to Phase 3 (CAPTIVATE trial in CIDP with early GO decision in March 2026) and Phase 2 (MoMeNtum in MMN) within 3 years of CEO Garcia's tenure [1][4]. The FDA agreement to simplify trial requirements (dropping ANA-based screening) in March 2026 validates the safety profile [4]. AI Deployment (0/2): No AI-specific products or AI-driven drug discovery capabilities reported. The company uses traditional clinical development approaches [2]. Market Share (2/2): Claseprubart is positioned as a potential best-in-class anti-C1s complement inhibitor targeting a $5B+ addressable market in autoimmune neurology (CIDP, gMG, MMN). The early GO decision from CAPTIVATE interim analysis suggests competitive differentiation versus existing therapies [4]. Pipeline (2/2): Specific pipeline with defined timelines — Phase 3 gMG initiation mid-2026, MoMeNtum Phase 2 top-line data H2 2026, CAPTIVATE Part B guidance by end-2026, DNTH212 Phase 1 data H2 2026, plus FDA regulatory wins de-risking the path [4]. R&amp;D Intensity (1/1): As a clinical-stage biotech, virtually all spending is R&amp;D — the company invests its entire capital base in drug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Dianthus articulates a specific and thoughtful mission focused on developing transformative therapies for patients with severe autoimmune diseases where current treatments are inadequate [2]. The focus on rare neurological conditions (CIDP, MMN) where patients have limited options reflects genuine intentionality beyond profit. Community Impact (1/2): The company's mission inherently serves patients with severe, often debilitating autoimmune conditions. The clinical trials themselves provide access to novel therapies for underserved patient populations [4]. Employee Retention (1/2): Employees describe a supportive culture with open leadership interactions and genuine passion for patients [2]. Leadership continuity under CEO Garcia since 2021, and the recent addition of CCO John C. King signals confidence in near-term commercial readiness. Insider Buying (0/2): No specific open-market insider purchasing data found in search results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clinical-stage biotech with minimal revenue ($2.04M TTM), Dianthus scores poorly on profitability and growth metrics. The strong D/E ratio of 0.28% reflects conservative capitalization through equity rather than debt [5]. However, ROE of -38.4% (cash burn from clinical trials), profit margin of 0%, and revenue decline of -78.6% YoY reflect pre-commercial reality rather than operational weakness [1][5]. Forward P/E of -17.5x indicates expected losses continue through 2026. The $4.9B market cap prices in significant pipeline optionality. Liquidity easily cleared: 959,643 avg volume × $89.34 = $85.7M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Dianthus demonstrates mixed infinite game characteristics — a genuine patient-focused mission and courageous long-term investment in novel biologics, balanced against the inherent finite-game pressures of clinical-stage biotech (cash runway constraints, binary trial outcomes, competitive race dynamics). The company plays a longer game than many biotechs but is ultimately constrained by the need to reach commercial milestones before capital runs out.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Dianthus has a genuine cause — developing transformative treatments for patients with severe autoimmune diseases where existing therapies are inadequate [2]. The focus on CIDP, gMG, and MMN represents underserved patient populations with real unmet medical needs. Leadership frames decisions in terms of patient impact rather than purely financial returns. However, the cause has not been tested through decades of execution — the company was effectively reborn under CEO Garcia in 2021 — so it remains partially proven rather than fully validated.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indicators. Employees describe an open environment where titles are set aside and leadership is accessible beyond direct reports [2]. CEO Garcia's tenure since 2021 provides stability, and the addition of experienced commercial leadership (CCO King) signals forward planning. The small team size typical of clinical-stage biotechs naturally enables closer collaboration. No major cultural red flags or turnover issues identified. Score: 1 weighted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in public communications. The company positions claseprubart as 'next-generation' and 'best-in-class' relative to existing complement inhibitors — language that implies competitive superiority rather than learning from rivals [4]. This is typical of biotech competitive framing but reflects finite-game 'beat the competition' thinking.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Dianthus was originally Magenta Therapeutics (focused on transplant biology) before a transformative restructuring and pivot to complement-mediated autoimmune diseases under CEO Garcia's leadership [2]. This represents meaningful strategic reinvention — abandoning one therapeutic area for a fundamentally different approach. The company also added multiple indications (gMG, MMN, DNTH212) beyond the initial CIDP focus.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The pivot from Magenta Therapeutics to Dianthus required abandoning sunk costs and prior programs to pursue a completely new therapeutic direction — a painful but necessary reinvention [2]. Investing heavily in Phase 3 trials with binary outcomes (CAPTIVATE in CIDP) while pre-revenue demonstrates willingness to bet on long-term capability. The early GO decision on CAPTIVATE based on interim data shows conviction.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Dianthus Therapeutics is a clinical-stage biotech with a potentially best-in-class anti-C1s complement inhibitor (claseprubart) targeting a $5B+ autoimmune neurology market. The March 2026 early GO decision on the Phase 3 CAPTIVATE trial in CIDP validates the efficacy signal, and FDA agreement to simplify trial requirements (removing ANA-based screening) reduces regulatory risk and operational complexity [4]. The pipeline has multiple near-term catalysts: Phase 3 gMG initiation mid-2026, Phase 2 MMN data H2 2026, CAPTIVATE Part B guidance by year-end, and DNTH212 Phase 1 data [4]. At $4.9B market cap with a conservative balance sheet (0.28% D/E), the stock prices in significant but not unreasonable pipeline optionality relative to the large addressable market.</w:t>
      </w:r>
    </w:p>
    <w:p>
      <w:pPr>
        <w:spacing w:after="120"/>
      </w:pPr>
      <w:r>
        <w:rPr>
          <w:rFonts w:ascii="Calibri" w:hAnsi="Calibri"/>
          <w:b w:val="0"/>
          <w:color w:val="3A4A28"/>
          <w:sz w:val="20"/>
        </w:rPr>
        <w:t>The bear case centers on binary clinical risk and pre-revenue economics. Claseprubart's Phase 3 results could disappoint — an early GO decision based on interim responder analysis is encouraging but not confirmatory [4]. The company burns cash with -38.4% ROE and will need capital to fund commercial launch infrastructure if trials succeed. Competition from established complement inhibitors (Soliris, Ultomiris from Alexion/AstraZeneca) and emerging competitors could limit market share even with successful trials. The -78.6% YoY revenue decline reflects the pre-commercial reality — there is no product revenue, only collaboration/milestone income that is inherently lumpy. At $89.34/share and $4.9B market cap, the market already prices in significant probability of success, creating downside risk if any trial misses [5]. The stock is a call option on clinical data with multiple binary events in the next 12-18 months.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CAPTIVATE Phase 3 Part B top-line guidance by end of 2026 — the primary de-risking event for the lead CIDP indication [4]</w:t>
      </w:r>
    </w:p>
    <w:p>
      <w:pPr>
        <w:spacing w:before="40" w:after="40"/>
        <w:ind w:left="283"/>
      </w:pPr>
      <w:r>
        <w:rPr>
          <w:rFonts w:ascii="Calibri" w:hAnsi="Calibri"/>
          <w:b/>
          <w:color w:val="4A6B25"/>
          <w:sz w:val="20"/>
        </w:rPr>
        <w:t xml:space="preserve">2. </w:t>
      </w:r>
      <w:r>
        <w:rPr>
          <w:rFonts w:ascii="Calibri" w:hAnsi="Calibri"/>
          <w:b w:val="0"/>
          <w:color w:val="3A4A28"/>
          <w:sz w:val="20"/>
        </w:rPr>
        <w:t>Phase 2 MoMeNtum top-line data in MMN expected H2 2026, providing a second indication read-out and pipeline diversification signal [4]</w:t>
      </w:r>
    </w:p>
    <w:p>
      <w:pPr>
        <w:spacing w:before="40" w:after="40"/>
        <w:ind w:left="283"/>
      </w:pPr>
      <w:r>
        <w:rPr>
          <w:rFonts w:ascii="Calibri" w:hAnsi="Calibri"/>
          <w:b/>
          <w:color w:val="4A6B25"/>
          <w:sz w:val="20"/>
        </w:rPr>
        <w:t xml:space="preserve">3. </w:t>
      </w:r>
      <w:r>
        <w:rPr>
          <w:rFonts w:ascii="Calibri" w:hAnsi="Calibri"/>
          <w:b w:val="0"/>
          <w:color w:val="3A4A28"/>
          <w:sz w:val="20"/>
        </w:rPr>
        <w:t>Phase 3 gMG trial initiation mid-2026 opening the largest complement inhibitor market opportunity (~$3B+ addressable)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Phase 3 CAPTIVATE failure in CIDP would eliminate the majority of the company's valuation given the $4.9B market cap is driven by pipeline optionality [4]</w:t>
      </w:r>
    </w:p>
    <w:p>
      <w:pPr>
        <w:spacing w:before="40" w:after="40"/>
        <w:ind w:left="283"/>
      </w:pPr>
      <w:r>
        <w:rPr>
          <w:rFonts w:ascii="Calibri" w:hAnsi="Calibri"/>
          <w:b/>
          <w:color w:val="4A6B25"/>
          <w:sz w:val="20"/>
        </w:rPr>
        <w:t xml:space="preserve">2. </w:t>
      </w:r>
      <w:r>
        <w:rPr>
          <w:rFonts w:ascii="Calibri" w:hAnsi="Calibri"/>
          <w:b w:val="0"/>
          <w:color w:val="3A4A28"/>
          <w:sz w:val="20"/>
        </w:rPr>
        <w:t>Competition from Alexion/AstraZeneca's established complement franchise (Soliris, Ultomiris) and emerging next-gen inhibitors from larger, better-resourced pharma companies [4]</w:t>
      </w:r>
    </w:p>
    <w:p>
      <w:pPr>
        <w:spacing w:before="40" w:after="40"/>
        <w:ind w:left="283"/>
      </w:pPr>
      <w:r>
        <w:rPr>
          <w:rFonts w:ascii="Calibri" w:hAnsi="Calibri"/>
          <w:b/>
          <w:color w:val="4A6B25"/>
          <w:sz w:val="20"/>
        </w:rPr>
        <w:t xml:space="preserve">3. </w:t>
      </w:r>
      <w:r>
        <w:rPr>
          <w:rFonts w:ascii="Calibri" w:hAnsi="Calibri"/>
          <w:b w:val="0"/>
          <w:color w:val="3A4A28"/>
          <w:sz w:val="20"/>
        </w:rPr>
        <w:t>Pre-revenue cash burn requiring potential dilutive capital raises to fund commercial launch infrastructure if trials succeed, compressing returns for current shareholders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and clinical trials for complement-mediated autoimmune diseases involve complex biology, patient-specific immune responses, and heavily regulated FDA approval processes that AI cannot shortcut or replace [4]. The physical nature of antibody manufacturing, clinical trial operations, and patient treatment creates structural protection from AI disruption. However, AI is accelerating competitor drug discovery timelines, potentially compressing Dianthus's time advantage over larger pharma companies developing competing complement inhibitors. AI Opportunity (1/1): While Dianthus does not report AI-specific revenue, the broader biotech industry is using AI to accelerate trial enrollment, patient identification, and biomarker analysis — capabilities that could benefit Dianthus's clinical programs indirectly. The company's molecular design and optimization likely benefits from computational tools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Benzinga — Dianthus Therapeutics Q4 2025 Earnings Review, EPS -$1.43, revenue $2.04M TTM, March 2026</w:t>
      </w:r>
    </w:p>
    <w:p>
      <w:pPr>
        <w:spacing w:before="20" w:after="20"/>
        <w:ind w:left="170"/>
      </w:pPr>
      <w:r>
        <w:rPr>
          <w:rFonts w:ascii="Calibri" w:hAnsi="Calibri"/>
          <w:b/>
          <w:color w:val="4A6B25"/>
          <w:sz w:val="15"/>
        </w:rPr>
        <w:t xml:space="preserve">2. </w:t>
      </w:r>
      <w:r>
        <w:rPr>
          <w:rFonts w:ascii="Calibri" w:hAnsi="Calibri"/>
          <w:b w:val="0"/>
          <w:color w:val="3A4A28"/>
          <w:sz w:val="17"/>
        </w:rPr>
        <w:t>Dianthus Therapeutics Corporate — Management Team, Careers page, company mission and culture</w:t>
      </w:r>
    </w:p>
    <w:p>
      <w:pPr>
        <w:spacing w:before="20" w:after="20"/>
        <w:ind w:left="170"/>
      </w:pPr>
      <w:r>
        <w:rPr>
          <w:rFonts w:ascii="Calibri" w:hAnsi="Calibri"/>
          <w:b/>
          <w:color w:val="4A6B25"/>
          <w:sz w:val="15"/>
        </w:rPr>
        <w:t xml:space="preserve">3. </w:t>
      </w:r>
      <w:r>
        <w:rPr>
          <w:rFonts w:ascii="Calibri" w:hAnsi="Calibri"/>
          <w:b w:val="0"/>
          <w:color w:val="3A4A28"/>
          <w:sz w:val="17"/>
        </w:rPr>
        <w:t>MarketScreener — Dianthus Therapeutics ESG and governance data, no controversies reported</w:t>
      </w:r>
    </w:p>
    <w:p>
      <w:pPr>
        <w:spacing w:before="20" w:after="20"/>
        <w:ind w:left="170"/>
      </w:pPr>
      <w:r>
        <w:rPr>
          <w:rFonts w:ascii="Calibri" w:hAnsi="Calibri"/>
          <w:b/>
          <w:color w:val="4A6B25"/>
          <w:sz w:val="15"/>
        </w:rPr>
        <w:t xml:space="preserve">4. </w:t>
      </w:r>
      <w:r>
        <w:rPr>
          <w:rFonts w:ascii="Calibri" w:hAnsi="Calibri"/>
          <w:b w:val="0"/>
          <w:color w:val="3A4A28"/>
          <w:sz w:val="17"/>
        </w:rPr>
        <w:t>GlobeNewsWire, StockTitan, Yahoo Finance — Claseprubart CAPTIVATE early GO decision, FDA trial simplification, pipeline timeline updates,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DNTH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