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w:t>
      </w:r>
      <w:r>
        <w:rPr>
          <w:rFonts w:ascii="Calibri" w:hAnsi="Calibri"/>
          <w:b/>
          <w:color w:val="1A2010"/>
          <w:sz w:val="40"/>
        </w:rPr>
        <w:t xml:space="preserve">  Healthpeak Properties, Inc.</w:t>
      </w:r>
    </w:p>
    <w:p>
      <w:pPr>
        <w:spacing w:after="120"/>
      </w:pPr>
      <w:r>
        <w:rPr>
          <w:rFonts w:ascii="Calibri" w:hAnsi="Calibri"/>
          <w:b/>
          <w:color w:val="6E8450"/>
          <w:sz w:val="18"/>
        </w:rPr>
        <w:t>DIVIDEND SLEEVE · 2026-03-27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Healthpeak Properties is an S&amp;P 500 real estate investment trust focused on healthcare discovery and delivery, owning and operating life science, medical office, and senior housing properties across the United States. The company merged with Physicians Realty Trust in 2024 to create a diversified healthcare REIT.</w:t>
      </w:r>
    </w:p>
    <w:p>
      <w:r>
        <w:rPr>
          <w:rFonts w:ascii="Calibri" w:hAnsi="Calibri"/>
          <w:b/>
          <w:color w:val="6E8450"/>
          <w:sz w:val="18"/>
        </w:rPr>
        <w:t>411 Employees · https://www.healthpeak.com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Physicians Realty Trust merger in 2024 was a significant strategic move that diversified Healthpeak's portfolio, and the planned Janus Living senior housing REIT IPO shows willingness to optimize structure [1]. AI Deployment (0/2): No evidence of AI deployment in property management, tenant services, or operations beyond standard industry technology [1]. Market Share Leadership (1/2): Healthpeak is a leading healthcare REIT but competes in a fragmented market against Welltower, Ventas, and other large REITs [1]. Product Pipeline (1/2): The $600M Gateway Crossing acquisition and $1B capital recycling plan for 2026 demonstrate active portfolio development, but these are incremental rather than transformative [1]. R&amp;D Intensity (1/1): Capital allocation to development and redevelopment is above average for healthcare REITs, with active life science campus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Healthpeak's mission to provide 'high-quality real estate for healthcare discovery and delivery' is functional but primarily about real estate investment rather than healthcare mission — the company is a landlord, not a healthcare provider [1]. Community Impact (1/2): The healthcare focus creates indirect positive community impact by enabling hospitals, medical offices, and research facilities, though Healthpeak's direct contribution is as property manager [1]. Employee Retention (1/2): With only 411 employees for a $11.7B enterprise, the team is lean; employee engagement data is not prominently disclosed [1]. Insider Buying (1/2): Share repurchase of 5.1M shares for $94M in 2025 signals some management confidence in intrinsic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Healthpeak's REIT structure creates metrics that appear weak on traditional screens — P/E of 168 and forward P/E of 84 are distorted by GAAP depreciation, and profit margin of 2.5% understates FFO-based profitability [1]. D/E of 122% is elevated but typical for REITs, and ROE of 1.2% is very low even by REIT standards. Revenue grew 3.1% YoY to $2.82B. Dividend yield of 7.27% with a payout ratio that exceeds GAAP earnings (but is supported by FFO of $1.82/share) [1]. 2026 EPS guidance of $0.34-0.38 represents significant improvement over 2025's $0.10 [1]. Daily dollar volume of ~$154M provides strong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Healthpeak operates with the steady, long-term orientation typical of REITs — multi-decade asset holding periods and portfolio optimization — but the company's purpose is fundamentally financial (maximizing FFO and NAV) rather than driven by a transcendent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healthcare real estate infrastructure is important but primarily commercially motivated; Healthpeak's articulation focuses on shareholder returns and portfolio optimization rather than healthcare mission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lean 411-person team manages a complex $12B portfolio efficiently, but limited workforce data and the planned Janus Living spinoff create uncertainty about organizational stability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Healthpeak competes thoughtfully against Welltower and Ventas through portfolio quality and life science focus, maintaining competitive positioning without destructive practices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Physicians Realty merger, Janus Living REIT spinoff, and $1B capital recycling plan demonstrate willingness to fundamentally reshape the portfolio structure to optimize value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Healthpeak's strategic decisions are competent but incremental — the company follows industry best practices rather than defining new approaches to healthcare real estate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Healthpeak offers a compelling income thesis with a 7.27% dividend yield supported by FFO of $1.82/share (well above the $1.22 annual dividend), and 2026 EPS guidance of $0.34-0.38 represents a 3.5x improvement over 2025's $0.10 [1]. The diversified healthcare portfolio spanning life science, medical office, and senior housing provides recession-resistant rental income, while the planned Janus Living REIT IPO could unlock hidden NAV value. The $600M Gateway Crossing acquisition and $1B capital recycling plan provide active portfolio optimization. Analyst consensus is Buy with a $19.50 target (16% upside) [1].</w:t>
      </w:r>
    </w:p>
    <w:p>
      <w:pPr>
        <w:spacing w:after="120"/>
      </w:pPr>
      <w:r>
        <w:rPr>
          <w:rFonts w:ascii="Calibri" w:hAnsi="Calibri"/>
          <w:b w:val="0"/>
          <w:color w:val="3A4A28"/>
          <w:sz w:val="20"/>
        </w:rPr>
        <w:t>The bear case centers on Healthpeak's weak fundamentals on traditional metrics — ROE of 1.2%, profit margin of 2.5%, and D/E of 122% are poor even by REIT standards [1]. The stock has underperformed the Healthcare REIT index by a wide margin, and net debt to adjusted EBITDAre of 5.2x is at the upper end of comfortable leverage for REITs. Senior housing exposure carries demographic risk if occupancy recovery stalls, and life science vacancy rates have risen in key markets. The dividend has shown zero growth over 5 years, offering yield without capital appreciation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Janus Living senior housing REIT IPO could unlock hidden NAV value and simplify the Healthpeak story to life science and medical office [1]</w:t>
      </w:r>
    </w:p>
    <w:p>
      <w:pPr>
        <w:spacing w:before="40" w:after="40"/>
        <w:ind w:left="283"/>
      </w:pPr>
      <w:r>
        <w:rPr>
          <w:rFonts w:ascii="Calibri" w:hAnsi="Calibri"/>
          <w:b/>
          <w:color w:val="4A6B25"/>
          <w:sz w:val="20"/>
        </w:rPr>
        <w:t xml:space="preserve">2. </w:t>
      </w:r>
      <w:r>
        <w:rPr>
          <w:rFonts w:ascii="Calibri" w:hAnsi="Calibri"/>
          <w:b w:val="0"/>
          <w:color w:val="3A4A28"/>
          <w:sz w:val="20"/>
        </w:rPr>
        <w:t>$1 billion capital recycling program in 2026 could improve portfolio quality and reduce leverage ratio below 5x [1]</w:t>
      </w:r>
    </w:p>
    <w:p>
      <w:pPr>
        <w:spacing w:before="40" w:after="40"/>
        <w:ind w:left="283"/>
      </w:pPr>
      <w:r>
        <w:rPr>
          <w:rFonts w:ascii="Calibri" w:hAnsi="Calibri"/>
          <w:b/>
          <w:color w:val="4A6B25"/>
          <w:sz w:val="20"/>
        </w:rPr>
        <w:t xml:space="preserve">3. </w:t>
      </w:r>
      <w:r>
        <w:rPr>
          <w:rFonts w:ascii="Calibri" w:hAnsi="Calibri"/>
          <w:b w:val="0"/>
          <w:color w:val="3A4A28"/>
          <w:sz w:val="20"/>
        </w:rPr>
        <w:t>2026 EPS improvement to $0.34-0.38 from $0.10 would demonstrate the earnings power of the merged portfolio and support the dividend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life science vacancy rates in key markets could pressure rental rates and occupancy for Healthpeak's lab portfolio [1]</w:t>
      </w:r>
    </w:p>
    <w:p>
      <w:pPr>
        <w:spacing w:before="40" w:after="40"/>
        <w:ind w:left="283"/>
      </w:pPr>
      <w:r>
        <w:rPr>
          <w:rFonts w:ascii="Calibri" w:hAnsi="Calibri"/>
          <w:b/>
          <w:color w:val="4A6B25"/>
          <w:sz w:val="20"/>
        </w:rPr>
        <w:t xml:space="preserve">2. </w:t>
      </w:r>
      <w:r>
        <w:rPr>
          <w:rFonts w:ascii="Calibri" w:hAnsi="Calibri"/>
          <w:b w:val="0"/>
          <w:color w:val="3A4A28"/>
          <w:sz w:val="20"/>
        </w:rPr>
        <w:t>Net debt to EBITDAre of 5.2x leaves limited buffer against credit deterioration or rising interest costs on floating-rate debt [1]</w:t>
      </w:r>
    </w:p>
    <w:p>
      <w:pPr>
        <w:spacing w:before="40" w:after="40"/>
        <w:ind w:left="283"/>
      </w:pPr>
      <w:r>
        <w:rPr>
          <w:rFonts w:ascii="Calibri" w:hAnsi="Calibri"/>
          <w:b/>
          <w:color w:val="4A6B25"/>
          <w:sz w:val="20"/>
        </w:rPr>
        <w:t xml:space="preserve">3. </w:t>
      </w:r>
      <w:r>
        <w:rPr>
          <w:rFonts w:ascii="Calibri" w:hAnsi="Calibri"/>
          <w:b w:val="0"/>
          <w:color w:val="3A4A28"/>
          <w:sz w:val="20"/>
        </w:rPr>
        <w:t>Zero dividend growth over 5 years and underperformance versus healthcare REIT peers suggest structural challenges in the portfolio mix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Healthcare real estate is fundamentally physical — laboratory buildings, medical offices, and senior housing facilities cannot be disrupted by AI [1]. If anything, AI-driven drug discovery accelerates demand for life science lab space, and telemedicine has proven complementary to rather than a substitute for physical medical offices. AI Opportunity (0/1): Healthpeak has not disclosed AI-driven property management or tenant service innovations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Healthpeak Properties Full Year 2025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Healthpeak Properties Investor Relations,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DOC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