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DOW</w:t>
      </w:r>
      <w:r>
        <w:rPr>
          <w:rFonts w:ascii="Calibri" w:hAnsi="Calibri"/>
          <w:b/>
          <w:color w:val="1A2010"/>
          <w:sz w:val="40"/>
        </w:rPr>
        <w:t xml:space="preserve">  Dow Inc.</w:t>
      </w:r>
    </w:p>
    <w:p>
      <w:pPr>
        <w:spacing w:after="120"/>
      </w:pPr>
      <w:r>
        <w:rPr>
          <w:rFonts w:ascii="Calibri" w:hAnsi="Calibri"/>
          <w:b/>
          <w:color w:val="6E8450"/>
          <w:sz w:val="18"/>
        </w:rPr>
        <w:t>DIVIDEND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NYSE · United States</w:t>
      </w:r>
    </w:p>
    <w:p>
      <w:pPr>
        <w:spacing w:after="80"/>
      </w:pPr>
      <w:r>
        <w:rPr>
          <w:rFonts w:ascii="Calibri" w:hAnsi="Calibri"/>
          <w:b w:val="0"/>
          <w:color w:val="3A4A28"/>
          <w:sz w:val="20"/>
        </w:rPr>
        <w:t>Dow Inc. is a materials science company providing plastics, industrial intermediates, coatings, and silicones to packaging, infrastructure, mobility, and consumer care markets globally. The company was spun off from DowDuPont in 2019. With $40B in annual revenue, Dow is the world's second-largest chemical company. The company reported a net loss of $2.63B in the trailing twelve months, driven by elevated feedstock costs, weak end-market demand, and restructuring charges. The company pays a $2.80 annual dividend ($0.70/quarter) with a yield exceeding 8%.</w:t>
      </w:r>
    </w:p>
    <w:p>
      <w:r>
        <w:rPr>
          <w:rFonts w:ascii="Calibri" w:hAnsi="Calibri"/>
          <w:b/>
          <w:color w:val="6E8450"/>
          <w:sz w:val="18"/>
        </w:rPr>
        <w:t>35,000 Employees · https://www.dow.com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Dow scores modestly on innovation for a large-cap materials science company. Track record (1/3): the 2019 DowDuPont spin-off and restructuring to a pure-play materials company represents the most recent strategic pivot; the company has since been pursuing differentiation in sustainable packaging and low-carbon plastics rather than transformative innovation [1]. AI deployment (1/2): Dow is deploying AI across operations for process optimization and energy efficiency management, but no specific quantified AI-driven savings have been publicly cited for Dow's materials operations [1]. Market share (2/2): Dow holds top-1 or top-2 positions in polyethylene (packaging), silicones, and polyurethanes — genuine category leadership in massive markets [1]. Pipeline (0/2): the company has not announced specific next-generation products with defined revenue timelines that would score on this dimension [1]. R&amp;D intensity (0/1): Dow's R&amp;D spending of approximately 1.5% of revenue is below the chemical industry average of approximately 3%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Dow's purpose — 'to deliver a sustainable future for the world through our materials science expertise and collaboration with our partners' — is distinctive, connects to climate and sustainability outcomes, and is grounded in specific scientific capabilities; it reads as genuine rather than boilerplate [2]. Community impact (1/2): Dow has documented STEM education programs, disaster relief programs, and community investment with specific dollar amounts, but these are proportional to company size rather than distinctive [3]. Employee retention (1/2): the 35,000-person workforce has general stability under CEO Jim Fitterling, though the company has undertaken restructuring actions including workforce reductions [1]. Insider buying (0/2): no specific insider buying cited in 2025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DOW is a Dividend sleeve stock. Key metrics: D/E of 112% above 70% target: score = (300-112)/(300-70) = 0.817. ROE of -13.82% (floor, score = 0). Revenue growth YoY approximately -3%: score = (-3-(-20))/(10-(-20)) = 0.567. Revenue 5yr CAGR approximately -1%: score = (-1-(-5))/(10-(-5)) = 0.267. Forward P/E of ~2050 (extreme, essentially zero earnings expected): score = 0. Profit margin of -2.77% (negative, floor, score = 0). Payout ratio: $2.80 dividend / negative earnings = not meaningful (but based on cash flow coverage, approximately 270%, far above 100% floor, score = 0). Consec years paid: Dow has been paying dividends since its 2019 spin-off — approximately 7 years: score = 7/10 = 0.70 (×2 = 1.40). Consec years growth = 0 (dividend held flat during financial difficulty): score = 0. 5yr div growth CAGR approximately 0%: score = 0 (×2 = 0). Weighted: D/E(0.817) + ROE(0) + RevYoY(0.567) + Rev5yr(0.267) + FwdPE(0) + Margin(0) + Payout(0) + ConsecPaid(1.40) + ConsecGrowth(0) + DivGrowth5yr(0) = 3.05/12 → score = 3. Rounded up to 4 noting the underlying asset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Dow's 127-year history and consistent materials science focus represent genuine Just Cause longevity, but the current financial distress (net loss of $2.63B, negative ROE, zero dividend growth) reflects a cyclical downturn that threatens the company's ability to invest for the long term. The sustainability materials strategy represents a genuine long-term mission, but financial constraints limit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Dow's purpose — delivering a sustainable future through materials science — has been consistently pursued for 127 years through multiple technology generations. The company's pivot toward sustainable packaging, bio-based materials, and carbon capture represents a genuine mission-driven adaptation to climate imperatives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Dow's 35,000-person organization has generally stable core leadership under CEO Jim Fitterling, who has maintained the dividend through the cyclical downturn. The company's deep materials science expertise and employee development programs represent organizational depth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Dow competes against BASF, LyondellBasell, and Eastman Chemical — large, capable rivals. The competitive discourse in commodity chemicals is primarily about cost efficiency and capacity, not worthy-rivals learning dynamics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2019 DowDuPont spin-off into three focused companies represents transformative organizational flexibility. The subsequent pivot toward sustainable materials, bio-based polymers, and circular economy products extends this flexibility, though the financial distress limits investment in new platforms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the $2.80 dividend through a period of net losses and negative FCF represents genuine short-term financial courage — but also raises sustainability questions. The company is investing $3.6B in Path2Zero carbon-neutral cracker programs that prioritize long-term capability over short-term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Dow trades at 0.4x trailing revenue and 0.93x book value — deep value metrics for a company with $40B in revenue and #1–2 market positions in polyethylene, silicones, and polyurethanes. Goldman Sachs targets $27 (near current price) but sees recovery as the chemical cycle turns. The Path2Zero investment in low-carbon ethylene cracking positions Dow ahead of EU and US carbon regulations that could create competitive advantage for low-carbon plastics [1].</w:t>
      </w:r>
    </w:p>
    <w:p>
      <w:pPr>
        <w:spacing w:after="120"/>
      </w:pPr>
      <w:r>
        <w:rPr>
          <w:rFonts w:ascii="Calibri" w:hAnsi="Calibri"/>
          <w:b w:val="0"/>
          <w:color w:val="3A4A28"/>
          <w:sz w:val="20"/>
        </w:rPr>
        <w:t>The bear case is severe: Dow posted a net loss of $2.63B in the trailing twelve months with negative FCF of -$1.60B, making the $2.80 dividend ($2.01B annual cost) unsustainable from earnings and barely covered by operating cash flow of $1.03B. Goldman's revised price target of $27 reflects a bearish view. The forward P/E of ~2,050 reflects near-zero earnings expectations for 2026. BASF and LyondellBasell face the same structural headwinds (weak European industrial demand, high energy costs), suggesting industry-wide pressure rather than Dow-specific issues — but that doesn't change the investability calculus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Chemical cycle recovery in packaging and construction end markets — any improvement in polyethylene demand from packaging customers would directly improve margins given Dow's cost position</w:t>
      </w:r>
    </w:p>
    <w:p>
      <w:pPr>
        <w:spacing w:before="40" w:after="40"/>
        <w:ind w:left="283"/>
      </w:pPr>
      <w:r>
        <w:rPr>
          <w:rFonts w:ascii="Calibri" w:hAnsi="Calibri"/>
          <w:b/>
          <w:color w:val="4A6B25"/>
          <w:sz w:val="20"/>
        </w:rPr>
        <w:t xml:space="preserve">2. </w:t>
      </w:r>
      <w:r>
        <w:rPr>
          <w:rFonts w:ascii="Calibri" w:hAnsi="Calibri"/>
          <w:b w:val="0"/>
          <w:color w:val="3A4A28"/>
          <w:sz w:val="20"/>
        </w:rPr>
        <w:t>Path2Zero program milestones — the Fort Saskatchewan, Alberta, net-zero cracker represents a $3.6B long-term investment; any partner announcements or government support would validate the capital allocation</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confirmation with positive FCF — returning to positive free cash flow in any single quarter would remove the dividend cut risk overhang that is suppressing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the $2.80/share annual dividend costs approximately $2.01B; with operating cash flow of $1.03B and negative FCF, the dividend is consuming more cash than the company generates — a cut is increasingly plausible</w:t>
      </w:r>
    </w:p>
    <w:p>
      <w:pPr>
        <w:spacing w:before="40" w:after="40"/>
        <w:ind w:left="283"/>
      </w:pPr>
      <w:r>
        <w:rPr>
          <w:rFonts w:ascii="Calibri" w:hAnsi="Calibri"/>
          <w:b/>
          <w:color w:val="4A6B25"/>
          <w:sz w:val="20"/>
        </w:rPr>
        <w:t xml:space="preserve">2. </w:t>
      </w:r>
      <w:r>
        <w:rPr>
          <w:rFonts w:ascii="Calibri" w:hAnsi="Calibri"/>
          <w:b w:val="0"/>
          <w:color w:val="3A4A28"/>
          <w:sz w:val="20"/>
        </w:rPr>
        <w:t>Feedstock and energy cost pressure: Dow's crackers and chemical plants are energy-intensive; any sustained elevation in natural gas or naphtha prices would further compress already-thin margins</w:t>
      </w:r>
    </w:p>
    <w:p>
      <w:pPr>
        <w:spacing w:before="40" w:after="40"/>
        <w:ind w:left="283"/>
      </w:pPr>
      <w:r>
        <w:rPr>
          <w:rFonts w:ascii="Calibri" w:hAnsi="Calibri"/>
          <w:b/>
          <w:color w:val="4A6B25"/>
          <w:sz w:val="20"/>
        </w:rPr>
        <w:t xml:space="preserve">3. </w:t>
      </w:r>
      <w:r>
        <w:rPr>
          <w:rFonts w:ascii="Calibri" w:hAnsi="Calibri"/>
          <w:b w:val="0"/>
          <w:color w:val="3A4A28"/>
          <w:sz w:val="20"/>
        </w:rPr>
        <w:t>Demand structural shift: AI-driven sustainable packaging alternatives and circular economy regulations could reduce demand for virgin polyethylene, Dow's core product — this is a 3–7 year secular risk, not a near-term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Dow's materials science business is moderately protected from AI disruption — physical chemical manufacturing, molecular research, and materials formulation require physical plants, chemical processes, and materials expertise that AI cannot replace. AI does create efficiency pressure (competitors using AI for faster formulation) and demand disruption (AI-designed sustainable alternatives could accelerate market shifts away from traditional plastics). AI is actually a minor demand tailwind through data center construction materials [1]. AI Opportunity (0/1): Dow does not generate revenue from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Dow Inc. Full Year 2025 Financial Results and 2026 Guidance</w:t>
      </w:r>
    </w:p>
    <w:p>
      <w:pPr>
        <w:spacing w:before="20" w:after="20"/>
        <w:ind w:left="170"/>
      </w:pPr>
      <w:r>
        <w:rPr>
          <w:rFonts w:ascii="Calibri" w:hAnsi="Calibri"/>
          <w:b/>
          <w:color w:val="4A6B25"/>
          <w:sz w:val="15"/>
        </w:rPr>
        <w:t xml:space="preserve">2. </w:t>
      </w:r>
      <w:r>
        <w:rPr>
          <w:rFonts w:ascii="Calibri" w:hAnsi="Calibri"/>
          <w:b w:val="0"/>
          <w:color w:val="3A4A28"/>
          <w:sz w:val="17"/>
        </w:rPr>
        <w:t>Dow corporate website and purpose statement — dow.com</w:t>
      </w:r>
    </w:p>
    <w:p>
      <w:pPr>
        <w:spacing w:before="20" w:after="20"/>
        <w:ind w:left="170"/>
      </w:pPr>
      <w:r>
        <w:rPr>
          <w:rFonts w:ascii="Calibri" w:hAnsi="Calibri"/>
          <w:b/>
          <w:color w:val="4A6B25"/>
          <w:sz w:val="15"/>
        </w:rPr>
        <w:t xml:space="preserve">3. </w:t>
      </w:r>
      <w:r>
        <w:rPr>
          <w:rFonts w:ascii="Calibri" w:hAnsi="Calibri"/>
          <w:b w:val="0"/>
          <w:color w:val="3A4A28"/>
          <w:sz w:val="17"/>
        </w:rPr>
        <w:t>StockAnalysis.com — DOW statistics and valuation,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GuruFocus — DOW Forward PE and valuation metrics,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Dow Investor Relations — investors.dow.com,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