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DOX</w:t>
      </w:r>
      <w:r>
        <w:rPr>
          <w:rFonts w:ascii="Calibri" w:hAnsi="Calibri"/>
          <w:b/>
          <w:color w:val="1A2010"/>
          <w:sz w:val="40"/>
        </w:rPr>
        <w:t xml:space="preserve">  Amdocs Limited</w:t>
      </w:r>
    </w:p>
    <w:p>
      <w:pPr>
        <w:spacing w:after="120"/>
      </w:pPr>
      <w:r>
        <w:rPr>
          <w:rFonts w:ascii="Calibri" w:hAnsi="Calibri"/>
          <w:b/>
          <w:color w:val="6E8450"/>
          <w:sz w:val="18"/>
        </w:rPr>
        <w:t>DIVIDEND SLEEVE · 2026-04-29 · Inspire: 66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Amdocs Limited provides software and services to communications, entertainment, media, and other service providers worldwide. The company designs, develops, operates, implements, supports, and markets open and modular cloud offerings, including CES25, a telco-native GenAI-led customer experience suite spanning business and network domains.</w:t>
      </w:r>
    </w:p>
    <w:p>
      <w:r>
        <w:rPr>
          <w:rFonts w:ascii="Calibri" w:hAnsi="Calibri"/>
          <w:b/>
          <w:color w:val="6E8450"/>
          <w:sz w:val="18"/>
        </w:rPr>
        <w:t>26,969 Employees · https://www.amdocs.com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Amdocs closed its Matrixx Software acquisition and unveiled aOS, an agentic operating system for telecom, representing meaningful product evolution though not a transformational pivot [1][2]. AI Deployment (1/2): The company is shipping GenAI agents embedded in CES25 and aOS for customer service automation and network operations, but measurable revenue impact from AI products has not been quantified [2]. Market Share Leadership (1/2): Amdocs holds a dominant position in telecom BSS/OSS with expanded multi-year engagements including Vodafone Germany and two new Western European carriers, though the addressable market is niche [1]. Product Pipeline (1/2): aOS and CES25 represent next-gen platforms with specific customer deployments, but revenue visibility from these products is still developing [2]. R&amp;D Intensity (0/1): R&amp;D spending as a percentage of revenue is moderate for a software company, not top-quartile relative to peers like Salesforce or ServiceNow.</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Amdocs articulates a purpose of helping service providers 'make it amazing' for their customers, which is clear but not deeply distinctive or transformative — it describes what they do rather than a broader vision of a better future. Community &amp; Charitable Impact (1/2): Amdocs maintains corporate social responsibility programs across all organizational levels with ESG roles distributed company-wide, though specific program dollar amounts and measurable community impact data are limited [3]. Employee Retention (1/2): The executive team is rated 'A' by employees on Comparably, placing them in the top 10% of companies with 10,000+ employees, suggesting above-average organizational health [2]. Insider Buying (1/2): CEO transition from Shuky Sheffer to Shimie Hortig (effective March 31, 2026) shows leadership continuity with an internal successor who has 20+ years at Amdocs, though net insider buying data is not prominent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Amdocs scores strongly on infrastructure with a fortress balance sheet (D/E 27.5% vs 70% target), ROE of 16.5% above the 15% target, and an exceptionally low Forward P/E of 7.9 suggesting deep value [4]. The dividend profile is excellent with 14 consecutive years of payment and growth, and a 14.9% five-year dividend growth CAGR — more than double the 6% target [4]. Weaknesses include modest revenue growth (4.1% YoY vs 10% target) and below-target profit margin (12.5% vs 20%), reflecting the managed-services-heavy business model that trades margin for recurring revenue predictability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Amdocs demonstrates mixed infinite game characteristics. The company has maintained a consistent strategic direction in telecom software for over 40 years, showing remarkable staying power, but the just cause is more about operational excellence than a transformative vision of a better future. The CEO transition to an internal successor with 20+ years of tenure signals organizational continuity and trust.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Amdocs has maintained a distinctive purpose of enabling communications service providers to serve their customers for over four decades. This purpose has survived multiple technology transitions — from wireline to wireless, from on-premise to cloud — and leadership decisions consistently trace back to this mission. However, the cause is more operational than transformative and doesn't describe a bold future state that inspires sacrifice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executive team earns an 'A' rating from employees on Comparably (top 10% for companies with 10,000+ employees), and the CEO succession plan reflects organizational stability with Shimie Hortig promoted after 20+ years at the company [2]. However, the company has 27,000 employees in a managed services model where labor cost pressures are constant, and no specific data on voluntary turnover or exceptional cultural practices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Amdocs' competitive language focuses on 'winning' new deals (Vodafone Germany, two new Western European customers) and market position rather than learning from rivals like Ericsson Digital Services, Nokia, or hyperscaler telecom platforms [1]. No evidence of management acknowledging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traditional on-premise BSS/OSS to cloud-native SaaS (aOS as 'agentic operating system') and the Matrixx Software acquisition represent meaningful strategic evolution [1][2]. However, these are incremental adaptations within the same telecom vertical rather than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investment in aOS as an agentic AI platform while legacy revenue still dominates shows willingness to cannibalize existing business lines. The Matrixx acquisition and pivot to cloud-native represent bets on long-term capability over short-term earnings [1]. However, the company has not been tested through a major crisis requiring truly costly long-term decisions — growth has been steady but incremental.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Amdocs offers a compelling value proposition as a deeply discounted telecom software franchise trading at 7.9x forward earnings with a 3.5% dividend yield and 14 consecutive years of dividend growth at a 14.9% CAGR [4]. The $4.25 billion twelve-month backlog provides revenue visibility, and the aOS agentic AI platform positions the company to capture telecom AI spending as carriers modernize networks [1]. Q1 FY2026 revenue of $1.16 billion grew 4.1% YoY with FY2026 guidance calling for 1.5%-5.5% revenue growth and 4%-8% EPS growth [1]. The fortress balance sheet (D/E 27%) and strong free cash flow generation support continued capital returns.</w:t>
      </w:r>
    </w:p>
    <w:p>
      <w:pPr>
        <w:spacing w:after="120"/>
      </w:pPr>
      <w:r>
        <w:rPr>
          <w:rFonts w:ascii="Calibri" w:hAnsi="Calibri"/>
          <w:b w:val="0"/>
          <w:color w:val="3A4A28"/>
          <w:sz w:val="20"/>
        </w:rPr>
        <w:t>The bear case centers on structural growth constraints in the telecom software market, where carrier consolidation limits the customer base and T-Mobile spending declines are already pressuring FY2026 revenue [1]. At 65% of revenue, managed services carries inherently lower margins than pure software, capping profit margin expansion. The CEO transition to Shimie Hortig introduces execution risk during a critical period of AI platform buildout. Additionally, the aOS platform must prove it can generate material revenue before hyperscalers and AI-native competitors disintermediate Amdocs' integration role — the company's own admission that it operates 'between two eras' highlights this existential uncertainty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commercial traction of the aOS agentic operating system with tier-1 carriers, converting the platform from cost center to revenue growth driver</w:t>
      </w:r>
    </w:p>
    <w:p>
      <w:pPr>
        <w:spacing w:before="40" w:after="40"/>
        <w:ind w:left="283"/>
      </w:pPr>
      <w:r>
        <w:rPr>
          <w:rFonts w:ascii="Calibri" w:hAnsi="Calibri"/>
          <w:b/>
          <w:color w:val="4A6B25"/>
          <w:sz w:val="20"/>
        </w:rPr>
        <w:t xml:space="preserve">2. </w:t>
      </w:r>
      <w:r>
        <w:rPr>
          <w:rFonts w:ascii="Calibri" w:hAnsi="Calibri"/>
          <w:b w:val="0"/>
          <w:color w:val="3A4A28"/>
          <w:sz w:val="20"/>
        </w:rPr>
        <w:t>Expansion of the Matrixx Software-powered 5G monetization suite into additional carrier deployments beyond initial customers</w:t>
      </w:r>
    </w:p>
    <w:p>
      <w:pPr>
        <w:spacing w:before="40" w:after="40"/>
        <w:ind w:left="283"/>
      </w:pPr>
      <w:r>
        <w:rPr>
          <w:rFonts w:ascii="Calibri" w:hAnsi="Calibri"/>
          <w:b/>
          <w:color w:val="4A6B25"/>
          <w:sz w:val="20"/>
        </w:rPr>
        <w:t xml:space="preserve">3. </w:t>
      </w:r>
      <w:r>
        <w:rPr>
          <w:rFonts w:ascii="Calibri" w:hAnsi="Calibri"/>
          <w:b w:val="0"/>
          <w:color w:val="3A4A28"/>
          <w:sz w:val="20"/>
        </w:rPr>
        <w:t>Multiple new Western European carrier wins announced in Q1 FY2026 could accelerate backlog growth beyond the current $4.25 billion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T-Mobile spending decline in FY2026 could pressure organic growth below the low end of guidance, given T-Mobile is a top-3 customer</w:t>
      </w:r>
    </w:p>
    <w:p>
      <w:pPr>
        <w:spacing w:before="40" w:after="40"/>
        <w:ind w:left="283"/>
      </w:pPr>
      <w:r>
        <w:rPr>
          <w:rFonts w:ascii="Calibri" w:hAnsi="Calibri"/>
          <w:b/>
          <w:color w:val="4A6B25"/>
          <w:sz w:val="20"/>
        </w:rPr>
        <w:t xml:space="preserve">2. </w:t>
      </w:r>
      <w:r>
        <w:rPr>
          <w:rFonts w:ascii="Calibri" w:hAnsi="Calibri"/>
          <w:b w:val="0"/>
          <w:color w:val="3A4A28"/>
          <w:sz w:val="20"/>
        </w:rPr>
        <w:t>AI commoditization of telecom integration services by hyperscalers (AWS, Azure, GCP) and AI-native startups could erode Amdocs' managed services pricing power</w:t>
      </w:r>
    </w:p>
    <w:p>
      <w:pPr>
        <w:spacing w:before="40" w:after="40"/>
        <w:ind w:left="283"/>
      </w:pPr>
      <w:r>
        <w:rPr>
          <w:rFonts w:ascii="Calibri" w:hAnsi="Calibri"/>
          <w:b/>
          <w:color w:val="4A6B25"/>
          <w:sz w:val="20"/>
        </w:rPr>
        <w:t xml:space="preserve">3. </w:t>
      </w:r>
      <w:r>
        <w:rPr>
          <w:rFonts w:ascii="Calibri" w:hAnsi="Calibri"/>
          <w:b w:val="0"/>
          <w:color w:val="3A4A28"/>
          <w:sz w:val="20"/>
        </w:rPr>
        <w:t>CEO transition mid-cycle during a critical strategic pivot to AI-native platforms introduces execution and strategic continuity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 EXPOSED): Amdocs operates at the intersection of AI opportunity and disruption risk. Its core telecom BSS/OSS business faces pressure as AI enables carriers to automate processes that Amdocs' managed services teams currently perform — the company itself acknowledged it is 'suspended between two eras' with legacy IT still generating most revenue while GenAI promises transformation that has yet to translate into growth [2]. Competitors including hyperscalers and AI-native startups could commoditize integration work. However, deep telecom domain expertise and complex regulatory environments provide meaningful switching costs. AI Opportunity (1/1): Amdocs is generating AI-related revenue through its GenAI agents embedded in CES25 and the new aOS platform, with specific customer deployments at Vodafone Germany and multiple new European carriers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Amdocs Q1 FY2026 Earnings Release, January 2026</w:t>
      </w:r>
    </w:p>
    <w:p>
      <w:pPr>
        <w:spacing w:before="20" w:after="20"/>
        <w:ind w:left="170"/>
      </w:pPr>
      <w:r>
        <w:rPr>
          <w:rFonts w:ascii="Calibri" w:hAnsi="Calibri"/>
          <w:b/>
          <w:color w:val="4A6B25"/>
          <w:sz w:val="15"/>
        </w:rPr>
        <w:t xml:space="preserve">2. </w:t>
      </w:r>
      <w:r>
        <w:rPr>
          <w:rFonts w:ascii="Calibri" w:hAnsi="Calibri"/>
          <w:b w:val="0"/>
          <w:color w:val="3A4A28"/>
          <w:sz w:val="17"/>
        </w:rPr>
        <w:t>Amdocs aOS Launch and CEO Transition Announcement, Fierce Network / Calcalist, March 2026</w:t>
      </w:r>
    </w:p>
    <w:p>
      <w:pPr>
        <w:spacing w:before="20" w:after="20"/>
        <w:ind w:left="170"/>
      </w:pPr>
      <w:r>
        <w:rPr>
          <w:rFonts w:ascii="Calibri" w:hAnsi="Calibri"/>
          <w:b/>
          <w:color w:val="4A6B25"/>
          <w:sz w:val="15"/>
        </w:rPr>
        <w:t xml:space="preserve">3. </w:t>
      </w:r>
      <w:r>
        <w:rPr>
          <w:rFonts w:ascii="Calibri" w:hAnsi="Calibri"/>
          <w:b w:val="0"/>
          <w:color w:val="3A4A28"/>
          <w:sz w:val="17"/>
        </w:rPr>
        <w:t>Amdocs ESG Library and CSR Reports, amdocs.com,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DOX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