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DRH</w:t>
      </w:r>
      <w:r>
        <w:rPr>
          <w:rFonts w:ascii="Calibri" w:hAnsi="Calibri"/>
          <w:b/>
          <w:color w:val="1A2010"/>
          <w:sz w:val="40"/>
        </w:rPr>
        <w:t xml:space="preserve">  DiamondRock Hospitality Company</w:t>
      </w:r>
    </w:p>
    <w:p>
      <w:pPr>
        <w:spacing w:after="120"/>
      </w:pPr>
      <w:r>
        <w:rPr>
          <w:rFonts w:ascii="Calibri" w:hAnsi="Calibri"/>
          <w:b/>
          <w:color w:val="6E8450"/>
          <w:sz w:val="18"/>
        </w:rPr>
        <w:t>DIVIDEND SLEEVE · 2026-04-12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DiamondRock Hospitality is a self-advised lodging REIT that owns 35 premium quality hotels and resorts with approximately 9,600 rooms, concentrated in leisure destinations and top gateway markets [1]. The company generates revenue from room rates, food &amp; beverage, and other hotel operations at its branded (Marriott, Hilton, Hyatt) and independent luxury properties.</w:t>
      </w:r>
    </w:p>
    <w:p>
      <w:r>
        <w:rPr>
          <w:rFonts w:ascii="Calibri" w:hAnsi="Calibri"/>
          <w:b/>
          <w:color w:val="6E8450"/>
          <w:sz w:val="18"/>
        </w:rPr>
        <w:t>35 Employees · https://www.drhc.com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DRH operates a traditional hotel REIT model with incremental portfolio adjustments — no transformative business model pivot in five years. The company has executed capital recycling (selling underperformers, acquiring leisure-focused assets) but the core model is unchanged [1]. AI Deployment (0/2): No evidence DRH is deploying AI-driven revenue management, guest experience, or cost optimization tools at scale across its 35 properties; hotel brands (Marriott, Hilton) drive most technology decisions, not the REIT [2]. Market Share (1/2): DRH is a meaningful but non-dominant lodging REIT with a $1.91B market cap, dwarfed by peers like Host Hotels and Park Hotels [4]. Pipeline (1/2): Capital return program and FY2026 EBITDA guidance of $287–$302M provides some visibility, but no transformative project pipeline announced [1]. R&amp;D Intensity (0/1): Hotel REITs have minimal R&amp;D spend; DRH relies on brand partners for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DRH articulates a clear but not distinctive purpose around owning a 'leading geographically diversified portfolio of hotels' with a focus on leisure destinations — this describes what they do but not a deeper purpose [3]. Community Impact (1/2): The 2024 Corporate Responsibility Report references 2030 sustainability goals (30% energy, 50% carbon, 20% water intensity reductions) and the company received the 2026 Nareit Leader in the Light Award for the second consecutive year, indicating above-baseline ESG investment [3]. Employee Retention (1/2): Glassdoor reviews note 'great culture, great portfolio, clean balance sheet' but also call out limited growth opportunities at a 35-employee company [2]. Insider Buying (0/2): No meaningful net insider buying reported in the last 12 months; 2024 C-suite restructuring replaced long-tenured CEO Mark Brugger with CFO Jeffrey Donnelly, which introduced leadership turnover rather than conviction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DRH is a mid-quality hotel REIT with acceptable leverage but weak profitability and a dividend devastated by COVID. D/E at ~70% exactly meets target [4]. P/E of 37x and forward P/E in the mid-30s reflect elevated valuation against softening fundamentals — Q4 2025 revenue was down 1.6% YoY [1]. ROE is roughly 5% and profit margin ~7% (typical for a hotel REIT with heavy depreciation) [4]. The 3.9% dividend yield looks attractive but payout ratio is ~80% of earnings and the dividend was cut to $0.01 during COVID; the recent 12.5% bump to $0.09 quarterly still leaves the payout far below the 2019 level of $0.125, so the 5yr dividend growth CAGR is negative [5]. Liquidity floor cleared: ~2M avg daily volume × $9.32 = ~$18.6M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DRH plays a middle-of-the-road REIT game — clean balance sheet and 2030 sustainability targets show some long-term orientation, but the 2024 C-suite restructuring, limited existential flexibility, and commodity-like REIT model temper the infinite game rating.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DRH articulates a purpose around a 'leading geographically diversified portfolio of hotels' and has embedded sustainability goals (2030 targets for energy/carbon/water) into strategy, but the cause is not distinctive or transformative — it reads as a well-run REIT mission statement rather than a Sinek-caliber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cite 'great culture, great portfolio, clean balance sheet' at the 35-person corporate team [2]. The 2024 leadership restructuring simplified the org chart and elevated internal talent (Donnelly from CFO to CEO), suggesting succession planning rather than external disruption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strong evidence DRH frames Host Hotels, Park Hotels, or Pebblebrook as worthy rivals whose strengths reveal DRH weaknesses. Investor communications focus on capital returns and portfolio quality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DRH has meaningfully repositioned its portfolio toward leisure and resort assets post-COVID and recycled capital away from lower-RevPAR urban properties, showing some flexibility [1]. But it has not made a transformative pivot — the business model is still 'own hotels.'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COVID-era dividend cut to $0.01/quarter preserved the balance sheet at the cost of income-investor trust — a defensible but painful capital allocation decision [5]. Ongoing share buybacks and the recent 12.5% dividend bump show some discipline, but the slow dividend recovery (still far below 2019 levels) suggests conservatism more than bold courage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DiamondRock Hospitality offers investors exposure to premium U.S. leisure and gateway hotels with a clean balance sheet (D/E ~70%) and a restored 3.9% dividend yield, backed by FY2026 Adjusted EBITDA guidance of $287–$302M [1]. The portfolio is concentrated in leisure destinations that outperformed during and after COVID, and the company earned Nareit's 2026 Leader in the Light Award for the second consecutive year, reflecting disciplined ESG execution [3]. The newly-simplified C-suite under Jeffrey Donnelly (former Wells Fargo lodging analyst) brings capital-allocation rigor, and a recent 12.5% dividend hike signals management confidence in the recovery trajectory [5]. Hotel REITs are structurally insulated from AI disruption since AI cannot replace physical rooms and in-person hospitality [6].</w:t>
      </w:r>
    </w:p>
    <w:p>
      <w:pPr>
        <w:spacing w:after="120"/>
      </w:pPr>
      <w:r>
        <w:rPr>
          <w:rFonts w:ascii="Calibri" w:hAnsi="Calibri"/>
          <w:b w:val="0"/>
          <w:color w:val="3A4A28"/>
          <w:sz w:val="20"/>
        </w:rPr>
        <w:t>The bear case centers on weak growth, an expensive multiple, and a dividend still far below pre-COVID levels. Q4 2025 revenue was down 1.6% YoY and FY2026 guidance implies only ~3% comparable growth, yet the stock trades at 37x trailing P/E and mid-30s forward P/E [1][4]. The payout ratio is ~80%, ROE is only ~5%, and the 5yr dividend growth CAGR is negative because DRH cut the dividend to $0.01 during COVID and has not restored it to the 2019 $0.125 level [5]. The 35-employee corporate team is dependent on Marriott/Hilton brand partners for innovation and AI deployment, so DRH itself participates only passively in sector technology upside. Rising rates and any consumer-spending slowdown on leisure travel would pressure RevPAR and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Adjusted EBITDA guidance of $287–$302M with dividend increased 12.5% to $0.09/quarter signals management confidence in the recovery path [1][5]</w:t>
      </w:r>
    </w:p>
    <w:p>
      <w:pPr>
        <w:spacing w:before="40" w:after="40"/>
        <w:ind w:left="283"/>
      </w:pPr>
      <w:r>
        <w:rPr>
          <w:rFonts w:ascii="Calibri" w:hAnsi="Calibri"/>
          <w:b/>
          <w:color w:val="4A6B25"/>
          <w:sz w:val="20"/>
        </w:rPr>
        <w:t xml:space="preserve">2. </w:t>
      </w:r>
      <w:r>
        <w:rPr>
          <w:rFonts w:ascii="Calibri" w:hAnsi="Calibri"/>
          <w:b w:val="0"/>
          <w:color w:val="3A4A28"/>
          <w:sz w:val="20"/>
        </w:rPr>
        <w:t>Leisure-destination portfolio concentration positioned to benefit from sustained post-COVID leisure travel demand and resort pricing power [1]</w:t>
      </w:r>
    </w:p>
    <w:p>
      <w:pPr>
        <w:spacing w:before="40" w:after="40"/>
        <w:ind w:left="283"/>
      </w:pPr>
      <w:r>
        <w:rPr>
          <w:rFonts w:ascii="Calibri" w:hAnsi="Calibri"/>
          <w:b/>
          <w:color w:val="4A6B25"/>
          <w:sz w:val="20"/>
        </w:rPr>
        <w:t xml:space="preserve">3. </w:t>
      </w:r>
      <w:r>
        <w:rPr>
          <w:rFonts w:ascii="Calibri" w:hAnsi="Calibri"/>
          <w:b w:val="0"/>
          <w:color w:val="3A4A28"/>
          <w:sz w:val="20"/>
        </w:rPr>
        <w:t>Capital return program (buybacks plus dividend) combined with clean balance sheet creates optionality for opportunistic portfolio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remains ~28% below 2019 pre-COVID level of $0.125/quarter, and payout ratio of ~80% constrains further near-term growth [5]</w:t>
      </w:r>
    </w:p>
    <w:p>
      <w:pPr>
        <w:spacing w:before="40" w:after="40"/>
        <w:ind w:left="283"/>
      </w:pPr>
      <w:r>
        <w:rPr>
          <w:rFonts w:ascii="Calibri" w:hAnsi="Calibri"/>
          <w:b/>
          <w:color w:val="4A6B25"/>
          <w:sz w:val="20"/>
        </w:rPr>
        <w:t xml:space="preserve">2. </w:t>
      </w:r>
      <w:r>
        <w:rPr>
          <w:rFonts w:ascii="Calibri" w:hAnsi="Calibri"/>
          <w:b w:val="0"/>
          <w:color w:val="3A4A28"/>
          <w:sz w:val="20"/>
        </w:rPr>
        <w:t>Q4 2025 revenue down 1.6% YoY against a 37x P/E multiple — any leisure travel softening would compress both earnings and valuation [1][4]</w:t>
      </w:r>
    </w:p>
    <w:p>
      <w:pPr>
        <w:spacing w:before="40" w:after="40"/>
        <w:ind w:left="283"/>
      </w:pPr>
      <w:r>
        <w:rPr>
          <w:rFonts w:ascii="Calibri" w:hAnsi="Calibri"/>
          <w:b/>
          <w:color w:val="4A6B25"/>
          <w:sz w:val="20"/>
        </w:rPr>
        <w:t xml:space="preserve">3. </w:t>
      </w:r>
      <w:r>
        <w:rPr>
          <w:rFonts w:ascii="Calibri" w:hAnsi="Calibri"/>
          <w:b w:val="0"/>
          <w:color w:val="3A4A28"/>
          <w:sz w:val="20"/>
        </w:rPr>
        <w:t>Small 35-employee REIT dependent on third-party hotel operators (Marriott, Hilton, Hyatt) for brand, technology, and AI revenue-management deployment — DRH captures only asset-owner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Hotel REIT ownership is a physical-asset business that AI cannot replace — guests still need rooms, beds, and in-person hospitality services. Deloitte's 2025 hospitality outlook and the 2026 AI Disruption Map both frame AI in hospitality as an operational efficiency enabler (revenue management, dynamic pricing, chatbots, housekeeping optimization) rather than a business model threat [6]. Risks are indirect: AI-driven video/VR could reduce some business travel, and AI-driven booking agents could compress OTA economics. But core lodging demand is physical-world and structurally AI-resilient. AI Opportunity (0/1): DRH itself generates no direct AI revenue — hotel brand partners (Marriott, Hilton) capture AI-enabled revenue management benefits; DRH participates passively as an asset owner.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DiamondRock Hospitality Q4 and Full Year 2025 Results and FY2026 Guidance, PRNewswire,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DiamondRock Hospitality reviews and Simply Wall St management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DiamondRock Hospitality 2024 Corporate Responsibility Report and 2026 Nareit Leader in the Light Award</w:t>
      </w:r>
    </w:p>
    <w:p>
      <w:pPr>
        <w:spacing w:before="20" w:after="20"/>
        <w:ind w:left="170"/>
      </w:pPr>
      <w:r>
        <w:rPr>
          <w:rFonts w:ascii="Calibri" w:hAnsi="Calibri"/>
          <w:b/>
          <w:color w:val="4A6B25"/>
          <w:sz w:val="15"/>
        </w:rPr>
        <w:t xml:space="preserve">4. </w:t>
      </w:r>
      <w:r>
        <w:rPr>
          <w:rFonts w:ascii="Calibri" w:hAnsi="Calibri"/>
          <w:b w:val="0"/>
          <w:color w:val="3A4A28"/>
          <w:sz w:val="17"/>
        </w:rPr>
        <w:t>Yahoo Finance / MarketBeat DRH key statistics — $9.32 price, 37.28 P/E, 70% D/E, $1.91B market cap, April 2026</w:t>
      </w:r>
    </w:p>
    <w:p>
      <w:pPr>
        <w:spacing w:before="20" w:after="20"/>
        <w:ind w:left="170"/>
      </w:pPr>
      <w:r>
        <w:rPr>
          <w:rFonts w:ascii="Calibri" w:hAnsi="Calibri"/>
          <w:b/>
          <w:color w:val="4A6B25"/>
          <w:sz w:val="15"/>
        </w:rPr>
        <w:t xml:space="preserve">5. </w:t>
      </w:r>
      <w:r>
        <w:rPr>
          <w:rFonts w:ascii="Calibri" w:hAnsi="Calibri"/>
          <w:b w:val="0"/>
          <w:color w:val="3A4A28"/>
          <w:sz w:val="17"/>
        </w:rPr>
        <w:t>Daily Political / Nasdaq DRH dividend history — $0.09 quarterly dividend April 14 2026 (12.5% raise from $0.08); COVID-era cut from $0.125 to $0.01</w:t>
      </w:r>
    </w:p>
    <w:p>
      <w:pPr>
        <w:spacing w:before="20" w:after="20"/>
        <w:ind w:left="170"/>
      </w:pPr>
      <w:r>
        <w:rPr>
          <w:rFonts w:ascii="Calibri" w:hAnsi="Calibri"/>
          <w:b/>
          <w:color w:val="4A6B25"/>
          <w:sz w:val="15"/>
        </w:rPr>
        <w:t xml:space="preserve">6. </w:t>
      </w:r>
      <w:r>
        <w:rPr>
          <w:rFonts w:ascii="Calibri" w:hAnsi="Calibri"/>
          <w:b w:val="0"/>
          <w:color w:val="3A4A28"/>
          <w:sz w:val="17"/>
        </w:rPr>
        <w:t>Deloitte Future of Hospitality AI outlook and Hospitalitynet 2026 AI Disruption Map,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