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DRI</w:t>
      </w:r>
      <w:r>
        <w:rPr>
          <w:rFonts w:ascii="Calibri" w:hAnsi="Calibri"/>
          <w:b/>
          <w:color w:val="1A2010"/>
          <w:sz w:val="40"/>
        </w:rPr>
        <w:t xml:space="preserve">  Darden Restaurants, Inc.</w:t>
      </w:r>
    </w:p>
    <w:p>
      <w:pPr>
        <w:spacing w:after="120"/>
      </w:pPr>
      <w:r>
        <w:rPr>
          <w:rFonts w:ascii="Calibri" w:hAnsi="Calibri"/>
          <w:b/>
          <w:color w:val="6E8450"/>
          <w:sz w:val="18"/>
        </w:rPr>
        <w:t>DIVIDEND SLEEVE · 2026-04-24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Darden Restaurants owns and operates full-service restaurant chains in the United States and Canada including Olive Garden, LongHorn Steakhouse, Cheddar's Scratch Kitchen, Chuy's, Yard House, Ruth's Chris Steak House, The Capital Grille, Seasons 52, and Eddie V's. Founded in 1938 and headquartered in Orlando, Florida.</w:t>
      </w:r>
    </w:p>
    <w:p>
      <w:r>
        <w:rPr>
          <w:rFonts w:ascii="Calibri" w:hAnsi="Calibri"/>
          <w:b/>
          <w:color w:val="6E8450"/>
          <w:sz w:val="18"/>
        </w:rPr>
        <w:t>197,924 Employees · https://www.darden.com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Darden delivered Q3 FY2026 revenue of $3.35B, beating estimates, with same-restaurant sales growth of 4.2% [1]. The acquisition of Chuy's (completed 2025) added a high-growth brand and expanded the portfolio to 10 brands. FY2026 guidance of $13.2B in total sales represents 8.5-9.3% growth including the 53rd week [1]. AI Deployment (1/2): Darden is deploying AI-driven forecasting tools for guest traffic prediction, automated scheduling, predictive ordering, and dynamic pricing across its restaurant portfolio, generating measurable efficiency improvements in labor productivity and food waste reduction [3]. Market Share (1/2): Darden is the largest full-service restaurant operator in the US by revenue with Olive Garden (#1 full-service casual dining by traffic) and LongHorn (#1 in steakhouse segment growth), but operates in a highly fragmented market without dominant overall share [1]. Pipeline (1/2): The Chuy's integration and continued unit growth (30-35 new restaurants per year) provide pipeline visibility, but no transformative new concepts have been announced [1]. R&amp;D Intensity (0/1): Restaurant companies have minimal traditional R&amp;D; Darden invests in menu innovation and digital capabilities but not at levels distinguishing it from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Darden's purpose centers on 'Nourishing and delighting everyone we serve' — clear and relevant but not deeply distinctive among restaurant companies [4]. The focus on team members, guests, and communities is genuine but interchangeable with many hospitality peers. Community Impact (2/2): Darden employs nearly 198,000 team members, making it one of the largest employers in the restaurant industry [4]. The Darden Foundation supports hunger relief and education, and the Orlando headquarters is LEED Gold certified with a 1.1 MW solar array — specific, measurable community investment [4]. Employee Retention (1/2): CEO Ricardo Cardenas has 89% approval on Glassdoor, and Darden culture ratings are 4.4/5 for values and 4.5/5 for diversity — above average for restaurants. However, some reviews cite management quality issues and work-life balance concerns typical of the industry [3]. Insider Buying (1/2): Net insider selling of 25,384 shares in the last 6 months with 12 sell transactions outpacing 11 buy transactions — modestly negative signal, though some selling may be routine equity compensation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Darden's financial profile is mixed — exceptional ROE of 51.5% and strong valuation (Forward P/E 17.8x) offset by D/E of 387.7%, which exceeds the 300% floor and scores zero on leverage [5]. The extreme D/E is partly structural due to restaurant lease accounting under ASC 842 but still represents genuine balance sheet risk. Revenue growth is solid at 5.9% YoY and 9.1% 5yr CAGR, near the 10% target [1]. Profit margin of 8.7% is typical for full-service restaurants but below the 20% scoring target. On dividend metrics, payout ratio of 62.2% is above the 40% target, and consecutive years paid (5 post-COVID) and growth (4 years) are below targets due to the COVID dividend suspension. Dividend growth CAGR of 6.2% exceeds the 6% target. Liquidity easily cleared at $288.7M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Darden demonstrates meaningful infinite game characteristics — an 88-year institutional history, consistent brand portfolio management, and a culture that invests in team members as the foundation of guest experience. CEO Cardenas continues the long-term playbook established by predecessors, though the company's acquisitive growth strategy (Chuy's, Ruth's Chris) occasionally feels more like portfolio assembly than cause-driven expansion.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Darden's purpose of nourishing and delighting through full-service dining is genuine and connects its work to community and hospitality, but it lacks the transformative, audacious quality Sinek demands of a true Just Cause [4]. The company has consistently invested in team member wellbeing and community impact, and the Olive Garden brand's 'When you're here, you're family' ethos is lived out through industry-leading benefits for hourly workers. However, this hasn't been validated through a defining strategic pivot or crisis-tested in a way that proved the cause shapes decisions.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Darden employs nearly 198,000 people with a CEO approval rating of 89% and culture scores of 4.4/5 on Glassdoor [3]. The company invests in team member benefits including healthcare for hourly workers and tuition assistance, which is above-average for the restaurant industry. However, frontline restaurant management reviews cite typical hospitality challenges around work-life balance and favoritism.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Darden management discusses competitive dynamics with Texas Roadhouse, Brinker, and independent restaurants in terms of improving its own guest experience and value proposition rather than market share warfare [1]. The company benchmarks against best-in-class operators and uses competitive pressure to refine menu innovation and service standards. (1/1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Darden has evolved meaningfully over its history — divesting Red Lobster in 2014 when it no longer fit the portfolio strategy, and acquiring higher-end concepts (Ruth's Chris, Eddie V's, Capital Grille) and growing fast-casual (Chuy's) to reposition the brand portfolio upmarket [1]. These moves show strategic flexibility in response to consumer trends, though they represent incremental portfolio management rather than a transformative reinvention of the business model.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Red Lobster divestiture in 2014 was a courageous decision that faced activist investor pressure but ultimately strengthened the portfolio [1]. The Chuy's acquisition during uncertain consumer spending conditions shows willingness to invest for the long term. However, Darden generally operates within a well-established playbook of same-store sales growth and disciplined unit expansion rather than making costly, unconventional bets.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Darden Restaurants is the largest full-service restaurant operator in the US with $12.8B in trailing revenue, powered by iconic brands Olive Garden and LongHorn Steakhouse and enhanced by the Chuy's acquisition [1]. Q3 FY2026 revenue of $3.35B beat estimates with 4.2% same-restaurant sales growth, and FY2026 guidance projects $13.2B in total sales (8.5-9.3% growth) with EPS of $10.57-$10.67 [1]. The 2.97% dividend yield provides income while the company deploys AI-driven efficiency tools across 2,000+ locations to improve labor productivity and food waste management [3]. At 17.8x forward earnings, Darden trades at a reasonable valuation for a defensive consumer franchise with consistent cash flow generation and a diversified multi-brand portfolio that addresses casual, fine dining, and fast-casual segments.</w:t>
      </w:r>
    </w:p>
    <w:p>
      <w:pPr>
        <w:spacing w:after="120"/>
      </w:pPr>
      <w:r>
        <w:rPr>
          <w:rFonts w:ascii="Calibri" w:hAnsi="Calibri"/>
          <w:b w:val="0"/>
          <w:color w:val="3A4A28"/>
          <w:sz w:val="20"/>
        </w:rPr>
        <w:t>The bear case centers on balance sheet leverage, margin pressure, and consumer cyclicality. D/E of 387.7% reflects significant debt load amplified by lease obligations, creating vulnerability in a rising rate or recessionary environment [5]. Profit margin of 8.7% leaves limited room for cost absorption if food inflation or labor costs spike, and EPS declined 3.3% YoY despite top-line growth, signaling margin pressure [5]. The COVID-era dividend suspension resets the consecutive years paid clock to just 5 years, undermining the dividend track record for income investors. Payout ratio of 62.2% is elevated and may constrain future dividend growth. Consumer spending on full-service dining is inherently cyclical and vulnerable to recession — Darden's revenue dropped 36% during COVID [1]. The Chuy's integration adds execution risk, and competition from fast-casual chains (Chipotle, CAVA) continues to pressure the full-service segment.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of $13.2B revenue with same-restaurant sales growth of 4%+ demonstrates resilient consumer demand and effective brand positioning across economic uncertainty [1]</w:t>
      </w:r>
    </w:p>
    <w:p>
      <w:pPr>
        <w:spacing w:before="40" w:after="40"/>
        <w:ind w:left="283"/>
      </w:pPr>
      <w:r>
        <w:rPr>
          <w:rFonts w:ascii="Calibri" w:hAnsi="Calibri"/>
          <w:b/>
          <w:color w:val="4A6B25"/>
          <w:sz w:val="20"/>
        </w:rPr>
        <w:t xml:space="preserve">2. </w:t>
      </w:r>
      <w:r>
        <w:rPr>
          <w:rFonts w:ascii="Calibri" w:hAnsi="Calibri"/>
          <w:b w:val="0"/>
          <w:color w:val="3A4A28"/>
          <w:sz w:val="20"/>
        </w:rPr>
        <w:t>Chuy's integration adding a high-growth Tex-Mex brand to the portfolio with potential for accelerated unit expansion under Darden's operational infrastructure [1]</w:t>
      </w:r>
    </w:p>
    <w:p>
      <w:pPr>
        <w:spacing w:before="40" w:after="40"/>
        <w:ind w:left="283"/>
      </w:pPr>
      <w:r>
        <w:rPr>
          <w:rFonts w:ascii="Calibri" w:hAnsi="Calibri"/>
          <w:b/>
          <w:color w:val="4A6B25"/>
          <w:sz w:val="20"/>
        </w:rPr>
        <w:t xml:space="preserve">3. </w:t>
      </w:r>
      <w:r>
        <w:rPr>
          <w:rFonts w:ascii="Calibri" w:hAnsi="Calibri"/>
          <w:b w:val="0"/>
          <w:color w:val="3A4A28"/>
          <w:sz w:val="20"/>
        </w:rPr>
        <w:t>AI-driven forecasting and scheduling tools being deployed across 2,000+ restaurants, with measurable efficiency gains in labor productivity, food waste reduction, and dynamic pricing optimization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387.7% creates significant balance sheet risk, particularly if interest rates remain elevated or a consumer recession compresses cash flows [5]</w:t>
      </w:r>
    </w:p>
    <w:p>
      <w:pPr>
        <w:spacing w:before="40" w:after="40"/>
        <w:ind w:left="283"/>
      </w:pPr>
      <w:r>
        <w:rPr>
          <w:rFonts w:ascii="Calibri" w:hAnsi="Calibri"/>
          <w:b/>
          <w:color w:val="4A6B25"/>
          <w:sz w:val="20"/>
        </w:rPr>
        <w:t xml:space="preserve">2. </w:t>
      </w:r>
      <w:r>
        <w:rPr>
          <w:rFonts w:ascii="Calibri" w:hAnsi="Calibri"/>
          <w:b w:val="0"/>
          <w:color w:val="3A4A28"/>
          <w:sz w:val="20"/>
        </w:rPr>
        <w:t>Full-service dining secular headwinds as fast-casual chains (Chipotle, CAVA, Sweetgreen) capture share with faster service and lower price points, pressuring traffic at traditional sit-down restaurants [1]</w:t>
      </w:r>
    </w:p>
    <w:p>
      <w:pPr>
        <w:spacing w:before="40" w:after="40"/>
        <w:ind w:left="283"/>
      </w:pPr>
      <w:r>
        <w:rPr>
          <w:rFonts w:ascii="Calibri" w:hAnsi="Calibri"/>
          <w:b/>
          <w:color w:val="4A6B25"/>
          <w:sz w:val="20"/>
        </w:rPr>
        <w:t xml:space="preserve">3. </w:t>
      </w:r>
      <w:r>
        <w:rPr>
          <w:rFonts w:ascii="Calibri" w:hAnsi="Calibri"/>
          <w:b w:val="0"/>
          <w:color w:val="3A4A28"/>
          <w:sz w:val="20"/>
        </w:rPr>
        <w:t>Consumer cyclicality — Darden's revenue is correlated with discretionary spending and dropped 36% during COVID, making the stock vulnerable to any recession or consumer confidence deterioration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Darden's core business — operating physical restaurants where guests dine in for the full-service experience — is structurally immune to AI substitution [3]. AI cannot replace a dinner at Olive Garden or a steak at Ruth's Chris; the value proposition is fundamentally about physical presence, human service, and food quality. Restaurant operations involve physical-world labor (cooking, serving, cleaning) that AI structurally cannot displace. AI actually enhances Darden's operations through demand forecasting, labor scheduling, and inventory optimization without threatening core revenue [3]. AI Opportunity (1/1): Darden is generating measurable efficiency gains from AI-driven guest traffic prediction, automated scheduling, predictive ordering, and dynamic pricing systems deployed across its 2,000+ restaurant portfolio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Darden Restaurants Q3 FY2026 Earnings — $3.35B revenue, 4.2% same-store sales growth, FY2026 guidance $13.2B, March 2026</w:t>
      </w:r>
    </w:p>
    <w:p>
      <w:pPr>
        <w:spacing w:before="20" w:after="20"/>
        <w:ind w:left="170"/>
      </w:pPr>
      <w:r>
        <w:rPr>
          <w:rFonts w:ascii="Calibri" w:hAnsi="Calibri"/>
          <w:b/>
          <w:color w:val="4A6B25"/>
          <w:sz w:val="15"/>
        </w:rPr>
        <w:t xml:space="preserve">2. </w:t>
      </w:r>
      <w:r>
        <w:rPr>
          <w:rFonts w:ascii="Calibri" w:hAnsi="Calibri"/>
          <w:b w:val="0"/>
          <w:color w:val="3A4A28"/>
          <w:sz w:val="17"/>
        </w:rPr>
        <w:t>Darden Restaurants Q2 FY2026 Earnings — $3.1B revenue, 7.3% growth, same-store sales up 4.3%, December 2025</w:t>
      </w:r>
    </w:p>
    <w:p>
      <w:pPr>
        <w:spacing w:before="20" w:after="20"/>
        <w:ind w:left="170"/>
      </w:pPr>
      <w:r>
        <w:rPr>
          <w:rFonts w:ascii="Calibri" w:hAnsi="Calibri"/>
          <w:b/>
          <w:color w:val="4A6B25"/>
          <w:sz w:val="15"/>
        </w:rPr>
        <w:t xml:space="preserve">3. </w:t>
      </w:r>
      <w:r>
        <w:rPr>
          <w:rFonts w:ascii="Calibri" w:hAnsi="Calibri"/>
          <w:b w:val="0"/>
          <w:color w:val="3A4A28"/>
          <w:sz w:val="17"/>
        </w:rPr>
        <w:t>Globe and Mail / Yahoo Finance — AI and forecasting tools boosting Darden's restaurant efficiency, including demand prediction, scheduling, and dynamic pricing</w:t>
      </w:r>
    </w:p>
    <w:p>
      <w:pPr>
        <w:spacing w:before="20" w:after="20"/>
        <w:ind w:left="170"/>
      </w:pPr>
      <w:r>
        <w:rPr>
          <w:rFonts w:ascii="Calibri" w:hAnsi="Calibri"/>
          <w:b/>
          <w:color w:val="4A6B25"/>
          <w:sz w:val="15"/>
        </w:rPr>
        <w:t xml:space="preserve">4. </w:t>
      </w:r>
      <w:r>
        <w:rPr>
          <w:rFonts w:ascii="Calibri" w:hAnsi="Calibri"/>
          <w:b w:val="0"/>
          <w:color w:val="3A4A28"/>
          <w:sz w:val="17"/>
        </w:rPr>
        <w:t>Darden Restaurants Impact Report 2024 — ESG initiatives, LEED Gold headquarters, team member investment, sustainability</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DRI (Darden Restaurants),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