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DRMA</w:t>
      </w:r>
      <w:r>
        <w:rPr>
          <w:rFonts w:ascii="Calibri" w:hAnsi="Calibri"/>
          <w:b/>
          <w:color w:val="1A2010"/>
          <w:sz w:val="40"/>
        </w:rPr>
        <w:t xml:space="preserve">  Dermata Therapeutics, Inc.</w:t>
      </w:r>
    </w:p>
    <w:p>
      <w:pPr>
        <w:spacing w:after="120"/>
      </w:pPr>
      <w:r>
        <w:rPr>
          <w:rFonts w:ascii="Calibri" w:hAnsi="Calibri"/>
          <w:b/>
          <w:color w:val="6E8450"/>
          <w:sz w:val="18"/>
        </w:rPr>
        <w:t>GROWTH SLEEVE · 2026-04-08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Dermata Therapeutics, Inc. is a late-stage medical dermatology company focused on identifying, developing, and commercializing pharmaceutical product candidates for the treatment of medical skin diseases and aesthetic applications. The company's lead candidate, XYNGARI, met all three co-primary endpoints in the Phase 3 STAR-1 trial for moderate-to-severe acne. In 2025, Dermata pivoted from the pharmaceutical pathway to a direct-to-consumer skincare strategy, withdrawing the XYNGARI IND and launching a new brand called Tome, with its first OTC Foundational Treatment product expected mid-2026.</w:t>
      </w:r>
    </w:p>
    <w:p>
      <w:r>
        <w:rPr>
          <w:rFonts w:ascii="Calibri" w:hAnsi="Calibri"/>
          <w:b/>
          <w:color w:val="6E8450"/>
          <w:sz w:val="18"/>
        </w:rPr>
        <w:t>9 Employees · https://www.dermatarx.com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Dermata demonstrated genuine clinical innovation when XYNGARI met all three co-primary endpoints in the Phase 3 STAR-1 acne trial, with statistically significant separation from placebo appearing as early as week four [1]. However, the company subsequently withdrew the XYNGARI IND and pivoted to a DTC skincare brand (Tome), effectively abandoning its differentiated pharmaceutical pipeline [1]. There is no evidence of AI deployment, meaningful market share, or substantial R&amp;D investment going forward — the 9-person team is directing resources toward consumer product commercialization rather than next-generation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and CEO Gerry Proehl brings credible industry inspiration, having led Santarus from startup to a $2.6 billion acquisition by Salix Pharmaceuticals [3]. The company's Inspire Insight score of +37 reflects a positive attribution for Product Access and Affordability, acknowledging alignment with patient-centric values [4]. However, the abrupt pivot from treating serious skin diseases to a consumer DTC brand dilutes mission clarity, and with only nine employees the organization lacks the scale to demonstrate meaningful community impact or cultural retention practices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Dermata is a pre-revenue micro-cap company with a market capitalization of approximately $5.4 million, zero commercial revenue, and return on equity of -194.2% [1][4]. Cash of $7.5 million at year-end 2025 is projected to fund operations only into Q1 2027, creating near-term going concern risk, and $15.4 million in equity raises during 2025–2026 represent severe dilution relative to the company's current market cap [1]. Every financial infrastructure metric scores zero — ROE deeply negative, profit margin zero, no meaningful forward earnings visibility — yielding a calculated Infrastructure score of 0/10.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Dermata exhibits a mixed infinite-game profile: its dramatic 2025 strategic pivot — withdrawing the XYNGARI IND and launching DTC skincare brand Tome — demonstrates exceptional existential flexibility, but the underlying just cause remains unclear and shifting [1][2]. The founding team's biotech track record and mission-driven origins in medical dermatology anchor some infinite-game identity, while the resource-constrained operating environment and uncertain commercial direction limit deeper organizational expressions of the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Dermata's origin in treating serious medical skin diseases reflects a genuine patient-centric cause, and CEO Proehl's track record suggests long-term value creation intent over short-term exits [3]. However, the withdrawal of the XYNGARI IND and pivot to consumer skincare has not been accompanied by a clearly articulated just cause that bridges the pharmaceutical past to the DTC future, leaving the mission as emerging rather than anchored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 nine employees, Dermata operates as an ultra-lean virtual organization where individual trust and autonomy are structural necessities — decisions flow directly from leadership with minimal organizational hierarchy [2]. The continued cohesion of the founding team through a major strategic pivot suggests a core of trusted collaborators, though the scale is too small to assess broader institutional trust practices or middle-management development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Dermata enters the DTC skincare market against well-capitalized incumbents — including Galderma, Neutrogena (J&amp;J), and AI-powered digital-native brands — without any evident framework for studying rivals' strengths or using competitive dynamics for self-improvement [1][2]. Competitive references in company communications focus narrowly on product differentiation rather than a broader appreciation of the landscape, scoring low on worthy rival orientation.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late-stage prescription pharma — including withdrawing a freshly successful Phase 3 IND — to a DTC consumer skincare brand represents one of the most dramatic instances of existential flexibility observable in a small-cap biotech [1]. Dermata's willingness to completely reinvent its business model, product strategy, and commercial pathway in response to capital and regulatory realities reflects a company that prioritizes ongoing relevance over preserving a particular institutional identity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Withdrawing the IND for XYNGARI — a drug that had just succeeded in Phase 3 trials — and redirecting the entire company toward an unproven DTC skincare model required leadership courage and willingness to break from conventional biotech logic [1]. CEO Proehl's decision to reduce R&amp;D spending by $5.3 million and commit to a consumer pivot demonstrates a willingness to challenge standard industry expectations, even if the ultimate commercial outcome remains highly uncertain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Dermata Therapeutics possesses a validated clinical asset in XYNGARI, which met all three Phase 3 co-primary endpoints in the STAR-1 acne trial with early-onset efficacy at week four — a genuine scientific achievement for a 9-person team [1]. CEO Gerry Proehl brings a track record of building dermatology biotechs into multi-billion dollar exits (Santarus to Salix for $2.6B), and the 2025 pivot to DTC skincare under the Tome brand targets a mid-2026 product launch that could generate the company's first commercial revenues and reduce dependence on dilutive equity raises [1][3].</w:t>
      </w:r>
    </w:p>
    <w:p>
      <w:pPr>
        <w:spacing w:after="120"/>
      </w:pPr>
      <w:r>
        <w:rPr>
          <w:rFonts w:ascii="Calibri" w:hAnsi="Calibri"/>
          <w:b w:val="0"/>
          <w:color w:val="3A4A28"/>
          <w:sz w:val="20"/>
        </w:rPr>
        <w:t>The risk profile, however, is extreme. Dermata has a $5.4 million market cap, zero revenue, -194.2% ROE, and $7.5 million cash runway projected to last only through Q1 2027 [1][4]. The company raised $15.4 million in equity in 2025–2026 — nearly three times its current market cap — representing severe shareholder dilution. Competing in DTC skincare against Galderma, J&amp;J, and well-funded digital-native brands with a nine-person team and minimal marketing capital faces long odds, and the withdrawal of the XYNGARI IND forfeits the most defensible value driver. At current metrics, DRMA does not meet the IOWN framework's thresholds for portfolio inclusion.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Mid-2026 commercial launch of the Tome DTC Foundational Treatment and Clearing Treatment acne product line generating first revenue and validating the consumer pivot [1]</w:t>
      </w:r>
    </w:p>
    <w:p>
      <w:pPr>
        <w:spacing w:before="40" w:after="40"/>
        <w:ind w:left="283"/>
      </w:pPr>
      <w:r>
        <w:rPr>
          <w:rFonts w:ascii="Calibri" w:hAnsi="Calibri"/>
          <w:b/>
          <w:color w:val="4A6B25"/>
          <w:sz w:val="20"/>
        </w:rPr>
        <w:t xml:space="preserve">2. </w:t>
      </w:r>
      <w:r>
        <w:rPr>
          <w:rFonts w:ascii="Calibri" w:hAnsi="Calibri"/>
          <w:b w:val="0"/>
          <w:color w:val="3A4A28"/>
          <w:sz w:val="20"/>
        </w:rPr>
        <w:t>Licensing or out-licensing of XYNGARI Phase 3 IP to an international pharmaceutical partner, unlocking non-dilutive milestone payments and validating the clinical asset [1][3]</w:t>
      </w:r>
    </w:p>
    <w:p>
      <w:pPr>
        <w:spacing w:before="40" w:after="40"/>
        <w:ind w:left="283"/>
      </w:pPr>
      <w:r>
        <w:rPr>
          <w:rFonts w:ascii="Calibri" w:hAnsi="Calibri"/>
          <w:b/>
          <w:color w:val="4A6B25"/>
          <w:sz w:val="20"/>
        </w:rPr>
        <w:t xml:space="preserve">3. </w:t>
      </w:r>
      <w:r>
        <w:rPr>
          <w:rFonts w:ascii="Calibri" w:hAnsi="Calibri"/>
          <w:b w:val="0"/>
          <w:color w:val="3A4A28"/>
          <w:sz w:val="20"/>
        </w:rPr>
        <w:t>DMT410 Phase 2a study with Revance/DAXXIFY for axillary hyperhidrosis producing positive data that attracts a strategic collaboration and extends the company's cash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$7.5M cash projected to last only through Q1 2027 with no revenue, requiring additional dilutive equity raises at a $5.4M market cap that could devastate per-share value [1]</w:t>
      </w:r>
    </w:p>
    <w:p>
      <w:pPr>
        <w:spacing w:before="40" w:after="40"/>
        <w:ind w:left="283"/>
      </w:pPr>
      <w:r>
        <w:rPr>
          <w:rFonts w:ascii="Calibri" w:hAnsi="Calibri"/>
          <w:b/>
          <w:color w:val="4A6B25"/>
          <w:sz w:val="20"/>
        </w:rPr>
        <w:t xml:space="preserve">2. </w:t>
      </w:r>
      <w:r>
        <w:rPr>
          <w:rFonts w:ascii="Calibri" w:hAnsi="Calibri"/>
          <w:b w:val="0"/>
          <w:color w:val="3A4A28"/>
          <w:sz w:val="20"/>
        </w:rPr>
        <w:t>DTC skincare market entry against Galderma, J&amp;J, L'Oreal, and AI-powered digital-native brands with a nine-person team and minimal marketing resources makes commercial success highly uncertain [1][2]</w:t>
      </w:r>
    </w:p>
    <w:p>
      <w:pPr>
        <w:spacing w:before="40" w:after="40"/>
        <w:ind w:left="283"/>
      </w:pPr>
      <w:r>
        <w:rPr>
          <w:rFonts w:ascii="Calibri" w:hAnsi="Calibri"/>
          <w:b/>
          <w:color w:val="4A6B25"/>
          <w:sz w:val="20"/>
        </w:rPr>
        <w:t xml:space="preserve">3. </w:t>
      </w:r>
      <w:r>
        <w:rPr>
          <w:rFonts w:ascii="Calibri" w:hAnsi="Calibri"/>
          <w:b w:val="0"/>
          <w:color w:val="3A4A28"/>
          <w:sz w:val="20"/>
        </w:rPr>
        <w:t>Withdrawal of the XYNGARI IND eliminates the most differentiated pharmaceutical value driver; re-entering the FDA regulatory process would require significant capital the company may not be able to raise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Dermata's core dermatology asset — the proprietary Spongilla freshwater sponge micro-needle delivery platform underlying XYNGARI — involves physical biological IP that AI cannot replicate, providing moderate baseline protection from AI disruption [2][3]. However, the pivot to DTC consumer skincare places the company directly in a market where AI-driven personalization, targeted advertising, and AI-formulated products are increasingly deployed by well-resourced competitors, creating meaningful competitive risk for a nine-person team with limited marketing budget [1]. The company shows no evidence of leveraging AI as a business enabler, representing a missed opportunity in both product development and go-to-market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Dermata Therapeutics, 'Corporate Update and Financial Results for the Year Ended 2025', PharmiWeb/IR Press Release, March 26, 2026</w:t>
      </w:r>
    </w:p>
    <w:p>
      <w:pPr>
        <w:spacing w:before="20" w:after="20"/>
        <w:ind w:left="170"/>
      </w:pPr>
      <w:r>
        <w:rPr>
          <w:rFonts w:ascii="Calibri" w:hAnsi="Calibri"/>
          <w:b/>
          <w:color w:val="4A6B25"/>
          <w:sz w:val="15"/>
        </w:rPr>
        <w:t xml:space="preserve">2. </w:t>
      </w:r>
      <w:r>
        <w:rPr>
          <w:rFonts w:ascii="Calibri" w:hAnsi="Calibri"/>
          <w:b w:val="0"/>
          <w:color w:val="3A4A28"/>
          <w:sz w:val="17"/>
        </w:rPr>
        <w:t>Dermata Therapeutics Corporate Website — About, Company, Pipeline pages, dermatarx.com,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Dermata Therapeutics Investor Relations — Management Team page, ir.dermatarx.com/company-information/management-team,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DRMA Key Statistics and Financial Data, finance.yahoo.com/quote/DRMA,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