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DRVN</w:t>
      </w:r>
      <w:r>
        <w:rPr>
          <w:rFonts w:ascii="Calibri" w:hAnsi="Calibri"/>
          <w:b/>
          <w:color w:val="1A2010"/>
          <w:sz w:val="40"/>
        </w:rPr>
        <w:t xml:space="preserve">  Driven Brands Holdings Inc.</w:t>
      </w:r>
    </w:p>
    <w:p>
      <w:pPr>
        <w:spacing w:after="120"/>
      </w:pPr>
      <w:r>
        <w:rPr>
          <w:rFonts w:ascii="Calibri" w:hAnsi="Calibri"/>
          <w:b/>
          <w:color w:val="6E8450"/>
          <w:sz w:val="18"/>
        </w:rPr>
        <w:t>GROWTH SLEEVE · 2026-04-25 · Inspire: 17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&amp; Truck Dealerships · NASDAQ · United States</w:t>
      </w:r>
    </w:p>
    <w:p>
      <w:pPr>
        <w:spacing w:after="80"/>
      </w:pPr>
      <w:r>
        <w:rPr>
          <w:rFonts w:ascii="Calibri" w:hAnsi="Calibri"/>
          <w:b w:val="0"/>
          <w:color w:val="3A4A28"/>
          <w:sz w:val="20"/>
        </w:rPr>
        <w:t>Driven Brands is the largest automotive services company in North America, operating over 5,100 locations across 13 countries under brands including Take 5 Oil Change, Meineke, MAACO, CARSTAR, and Auto Glass Now. The company provides paint, collision, glass, repair, car wash, oil change, and maintenance services through franchise, company-operated, and independently-operated locations.</w:t>
      </w:r>
    </w:p>
    <w:p>
      <w:r>
        <w:rPr>
          <w:rFonts w:ascii="Calibri" w:hAnsi="Calibri"/>
          <w:b/>
          <w:color w:val="6E8450"/>
          <w:sz w:val="18"/>
        </w:rPr>
        <w:t>10,700 Employees · https://www.drivenbrands.com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Driven Brands has expanded its store footprint with 167 net new stores over the trailing twelve months and delivered its 19th consecutive quarter of same-store sales growth of 2.8% in Q3 2025, but this represents incremental growth rather than transformative innovation [1]. The company's growth has been acquisition-driven (Take 5, CARSTAR, Auto Glass Now) rather than product innovation. AI Deployment (0/2): No evidence of AI-powered products or quantified AI-driven efficiency gains; the company's technology focus remains on basic operational systems [2]. Market Share (1/2): Driven Brands is the largest automotive services company in North America by store count, giving it scale advantages, but the market remains highly fragmented with no dominant pricing power [1]. Pipeline (1/2): Take 5 Oil Change is the primary growth engine with rapid unit expansion and a clear pathway to 2,000+ locations, providing tangible pipeline visibility [1]. R&amp;D Intensity (1/1): Minimal formal R&amp;D spend, but the company invests above-average for the industry in operational technology and franchise systems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Driven Brands describes itself as focused on being 'the biggest and best automotive services company' — a generic growth aspiration interchangeable with any multi-unit operator. No articulated purpose beyond scale and shareholder returns [2]. Community Impact (0/2): No evidence of distinctive charitable programs, community foundations, or measurable social investment beyond standard corporate practices. Employee Retention (1/2): CEO Daniel Rivera's internal promotion from CIO to Group President to CEO over 13 years suggests organizational commitment, though significant leadership turnover preceded his appointment (prior CEO Jonathan Fitzpatrick departed May 2025) [2]. Insider Buying (1/2): Net insider selling evident — Officer Scott O'Melia sold $750K in January 2026 and Director Fitzpatrick sold $3.4M in September 2025, partially offset by stock awards granted to executives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financial profile with severe balance sheet leverage offset by attractive valuation and strong revenue growth trajectory. D/E of 347% far exceeds the 300% floor, scoring 0 on that metric [5]. ROE is negative at -27.3% due to net losses from $800M+ in goodwill impairments and accounting restatements [4]. Revenue growth is solid at 6.6% YoY with a 3-year CAGR of 16.8% driven by acquisitions and unit expansion [1]. Forward P/E of 9.7x is deeply discounted to the market, reflecting accounting uncertainty. PEG ratio of 0.84 suggests strong growth-to-value, and profit margin is negative at -8.1% due to non-cash charges. Liquidity floor easily cleared at $24.0M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Driven Brands operates with a predominantly finite mindset focused on rapid scale through acquisitions and unit count growth. The accounting restatement crisis reveals systemic governance failures — material weaknesses in internal controls spanning 2023-2025 suggest a culture that prioritized growth metrics over organizational integrity [4]. Leadership instability (CEO transition in May 2025) and the absence of a purpose beyond being 'the biggest' place this firmly in finite territory.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Driven Brands' stated purpose centers on being the largest automotive services company — a finite goal focused on scale and market position rather than a vision of a better future [2]. The mission lacks the idealism, inclusivity, and service-orientation that Sinek requires of a Just Cause. 'Biggest and best' is a competitive goal, not an enduring purpose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Rivera's 13-year tenure from CIO to CEO suggests some organizational loyalty, but the accounting restatement spanning multiple years reveals systemic failures in internal controls that indicate a breakdown in organizational accountability [4]. The CEO transition from Fitzpatrick to Rivera in May 2025, followed by Fitzpatrick's $3.4M stock sale, suggests less than full alignment. Nick Vincent as Chief People Officer shows investment in culture, but the restatement undermines trust signals [2][3].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Driven Brands' competitive language centers on being 'the largest' and 'the biggest,' which is finite competitive framing focused on winning through scale rather than improving through rivalry [2]. No evidence of management referencing competitors' strengths as motivation for self-improvement. The acquisition-driven strategy (CARSTAR, Take 5, Auto Glass Now) suggests a 'buy to win' rather than 'learn to improve'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Driven Brands has shown incremental flexibility by expanding from paint and collision (MAACO, CARSTAR) into oil change (Take 5), car wash, and auto glass through acquisitions [1]. This represents meaningful business model evolution from single-category operator to multi-service platform. However, these moves were additive acquisitions rather than transformative pivots — the core model of franchised automotive services has not changed since founding in 1972.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accounting restatement crisis — with revenue overstatements and expense understatements spanning 2023-2025 — represents the opposite of courageous leadership [4]. Management failed to identify material weaknesses in internal controls for years, and the prior CEO departed before the full scope became public. No evidence of leadership sacrificing short-term results for long-term integrity; instead, the evidence suggests prioritization of reported metrics over accurate accounting.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Driven Brands is the largest automotive services platform in North America with 5,100+ locations generating $2.3B in annual revenue across Take 5 Oil Change, Meineke, MAACO, CARSTAR, and Auto Glass Now [1]. The bull case rests on the non-discretionary nature of vehicle maintenance (12.6-year average US vehicle age drives service demand), the asset-light franchise model, rapid Take 5 unit expansion, and a deeply discounted forward P/E of 9.7x with a PEG of 0.84 [5]. Q3 2025 revenue grew 6.6% to $535.7M with the 19th consecutive quarter of same-store sales growth, and system-wide sales expanded 5% [1]. Under new CEO Daniel Rivera (promoted May 2025), the company is focusing on operational execution and franchise unit economics.</w:t>
      </w:r>
    </w:p>
    <w:p>
      <w:pPr>
        <w:spacing w:after="120"/>
      </w:pPr>
      <w:r>
        <w:rPr>
          <w:rFonts w:ascii="Calibri" w:hAnsi="Calibri"/>
          <w:b w:val="0"/>
          <w:color w:val="3A4A28"/>
          <w:sz w:val="20"/>
        </w:rPr>
        <w:t>The bear case is substantial. Driven Brands disclosed in February 2026 that it must restate financial statements for fiscal years 2023-2024 and quarterly results through September 2025 due to pervasive accounting errors including revenue overstatements, expense understatements, and unreconciled cash balances [4]. The stock dropped ~40% (from $16.61 to $9.99) on the disclosure, and multiple securities fraud class action lawsuits have been filed. D/E of 347% represents dangerously high leverage for a services business, and negative ROE (-27.3%) and negative profit margins (-8.1%) reflect ongoing losses from $800M+ in impairment charges. The accounting restatements create fundamental uncertainty about the true financial picture — investors cannot trust reported numbers until restated financials are filed, and SEC scrutiny could lead to further negative disclosures. Revenue estimates for 2026 have been cut from $2.28B to $2.09B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financial restatements for FY2023-2025 could remove the uncertainty overhang and allow the stock to re-rate toward its pre-disclosure valuation of $16+ [4]</w:t>
      </w:r>
    </w:p>
    <w:p>
      <w:pPr>
        <w:spacing w:before="40" w:after="40"/>
        <w:ind w:left="283"/>
      </w:pPr>
      <w:r>
        <w:rPr>
          <w:rFonts w:ascii="Calibri" w:hAnsi="Calibri"/>
          <w:b/>
          <w:color w:val="4A6B25"/>
          <w:sz w:val="20"/>
        </w:rPr>
        <w:t xml:space="preserve">2. </w:t>
      </w:r>
      <w:r>
        <w:rPr>
          <w:rFonts w:ascii="Calibri" w:hAnsi="Calibri"/>
          <w:b w:val="0"/>
          <w:color w:val="3A4A28"/>
          <w:sz w:val="20"/>
        </w:rPr>
        <w:t>Take 5 Oil Change unit expansion toward 2,000+ locations represents the highest-margin, fastest-growing segment with strong franchise economics [1]</w:t>
      </w:r>
    </w:p>
    <w:p>
      <w:pPr>
        <w:spacing w:before="40" w:after="40"/>
        <w:ind w:left="283"/>
      </w:pPr>
      <w:r>
        <w:rPr>
          <w:rFonts w:ascii="Calibri" w:hAnsi="Calibri"/>
          <w:b/>
          <w:color w:val="4A6B25"/>
          <w:sz w:val="20"/>
        </w:rPr>
        <w:t xml:space="preserve">3. </w:t>
      </w:r>
      <w:r>
        <w:rPr>
          <w:rFonts w:ascii="Calibri" w:hAnsi="Calibri"/>
          <w:b w:val="0"/>
          <w:color w:val="3A4A28"/>
          <w:sz w:val="20"/>
        </w:rPr>
        <w:t>New CEO Daniel Rivera's operational focus and internal promotion from 13-year tenure could stabilize leadership and rebuild investor confidence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Financial restatement could reveal larger-than-expected revenue overstatements or additional accounting irregularities, triggering further stock declines and potential SEC enforcement actions [4]</w:t>
      </w:r>
    </w:p>
    <w:p>
      <w:pPr>
        <w:spacing w:before="40" w:after="40"/>
        <w:ind w:left="283"/>
      </w:pPr>
      <w:r>
        <w:rPr>
          <w:rFonts w:ascii="Calibri" w:hAnsi="Calibri"/>
          <w:b/>
          <w:color w:val="4A6B25"/>
          <w:sz w:val="20"/>
        </w:rPr>
        <w:t xml:space="preserve">2. </w:t>
      </w:r>
      <w:r>
        <w:rPr>
          <w:rFonts w:ascii="Calibri" w:hAnsi="Calibri"/>
          <w:b w:val="0"/>
          <w:color w:val="3A4A28"/>
          <w:sz w:val="20"/>
        </w:rPr>
        <w:t>Securities fraud class action lawsuits (class period May 2023 to February 2026) create litigation liability exposure and ongoing legal costs that could pressure already-stretched finances [4]</w:t>
      </w:r>
    </w:p>
    <w:p>
      <w:pPr>
        <w:spacing w:before="40" w:after="40"/>
        <w:ind w:left="283"/>
      </w:pPr>
      <w:r>
        <w:rPr>
          <w:rFonts w:ascii="Calibri" w:hAnsi="Calibri"/>
          <w:b/>
          <w:color w:val="4A6B25"/>
          <w:sz w:val="20"/>
        </w:rPr>
        <w:t xml:space="preserve">3. </w:t>
      </w:r>
      <w:r>
        <w:rPr>
          <w:rFonts w:ascii="Calibri" w:hAnsi="Calibri"/>
          <w:b w:val="0"/>
          <w:color w:val="3A4A28"/>
          <w:sz w:val="20"/>
        </w:rPr>
        <w:t>D/E of 347% with negative earnings creates refinancing risk — if credit markets tighten or lenders demand higher rates, the company's $2.8B+ debt load could become unsustainable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Driven Brands' core business — physical automotive services including oil changes, collision repair, paint jobs, and car washes — is structurally immune to AI disruption. Vehicles require hands-on maintenance regardless of AI advancement, and the fragmented nature of automotive aftermarket services makes AI substitution impossible [1]. The growing vehicle fleet age (average 12.6 years in the US) and increasing vehicle complexity actually drive demand for professional service providers. No analysts have flagged AI as a disruption risk to automotive services. AI Opportunity (0/1): No meaningful AI revenue. The company has not deployed AI-powered products or services to customers, and there is no evidence of quantifiable AI-driven cost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17</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Driven Brands Q3 FY2025 Earnings Call Transcript — $535.7M revenue, 6.6% YoY growth, 19th consecutive quarter SSS growth, The Motley Fool, April 2026</w:t>
      </w:r>
    </w:p>
    <w:p>
      <w:pPr>
        <w:spacing w:before="20" w:after="20"/>
        <w:ind w:left="170"/>
      </w:pPr>
      <w:r>
        <w:rPr>
          <w:rFonts w:ascii="Calibri" w:hAnsi="Calibri"/>
          <w:b/>
          <w:color w:val="4A6B25"/>
          <w:sz w:val="15"/>
        </w:rPr>
        <w:t xml:space="preserve">2. </w:t>
      </w:r>
      <w:r>
        <w:rPr>
          <w:rFonts w:ascii="Calibri" w:hAnsi="Calibri"/>
          <w:b w:val="0"/>
          <w:color w:val="3A4A28"/>
          <w:sz w:val="17"/>
        </w:rPr>
        <w:t>Driven Brands Investor Relations — Executive Management and Company Overview,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DRVN insider transactions data,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PR Newswire / Hagens Berman — DRVN Securities Fraud Lawsuit, accounting restatement disclosure February 25, 2026, class action filings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DRVN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