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w:t>
      </w:r>
      <w:r>
        <w:rPr>
          <w:rFonts w:ascii="Calibri" w:hAnsi="Calibri"/>
          <w:b/>
          <w:color w:val="1A2010"/>
          <w:sz w:val="40"/>
        </w:rPr>
        <w:t xml:space="preserve">  Dynatrace, Inc.</w:t>
      </w:r>
    </w:p>
    <w:p>
      <w:pPr>
        <w:spacing w:after="120"/>
      </w:pPr>
      <w:r>
        <w:rPr>
          <w:rFonts w:ascii="Calibri" w:hAnsi="Calibri"/>
          <w:b/>
          <w:color w:val="6E8450"/>
          <w:sz w:val="18"/>
        </w:rPr>
        <w:t>GROWTH SLEEVE · 2026-03-28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Dynatrace provides an AI-powered unified observability and security platform that enables enterprises to monitor, analyze, and optimize application performance, IT infrastructure, cloud environments, and user experience. The platform combines causal AI, predictive AI, and generative AI to deliver autonomous operations for complex multi-cloud environments.</w:t>
      </w:r>
    </w:p>
    <w:p>
      <w:r>
        <w:rPr>
          <w:rFonts w:ascii="Calibri" w:hAnsi="Calibri"/>
          <w:b/>
          <w:color w:val="6E8450"/>
          <w:sz w:val="18"/>
        </w:rPr>
        <w:t>5,200 Employees · https://www.dynatrace.com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Dynatrace has successfully transformed from a legacy APM (Application Performance Monitoring) tool to a unified AI-powered observability platform, expanding into log management ($100M+ annualized consumption milestone), security, and agentic AI operations [1]. This platform expansion has driven ARR from under $1B to nearly $2B in three years. AI Deployment (2/2): Dynatrace Intelligence — the company's agentic AI-powered operations system — combines deterministic, causal, predictive, and generative AI to enable autonomous prevention, remediation, and optimization. This is shipping to production customers with measurable results, and observability for agentic AI is becoming a new product category [2]. Market Share (2/2): Dynatrace is a leader in the Gartner Magic Quadrant for APM and Observability, competing against Datadog, Splunk/Cisco, and New Relic in a $65B total addressable market ($51B observability + $14B security). ARR of $1.97B growing 20% YoY demonstrates share gains [1]. Pipeline (1/2): Dynatrace Intelligence platform for agentic AI observability and expanded security capabilities provide specific growth vectors, with FY2026 ARR guidance raised to $2.05-2.06B [1]. R&amp;D Intensity (1/1): Significant R&amp;D investment relative to revenue — the company continuously ships new AI capabilities and platform extensions at a pace that exceeds software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Dynatrace's purpose — 'to make the world's software work perfectly' — is clear and connects to a meaningful outcome (reliable digital infrastructure), but it's functional rather than deeply inspirational. It identifies what the company does without articulating a broader vision of the future. Community Impact (1/2): Dynatrace published an inaugural Global Impact Report covering environmental sustainability, community engagement, and governance. The Carbon Impact product helps customers measure and reduce IT carbon footprints, which is aligned with broader societal benefit [3]. Employee Retention (2/2): Dynatrace was recognized by Glassdoor as one of the 50 best-led organizations in the US. CEO McConnell emphasizes a 'people-first' leadership approach with immersive learning, peer mentoring, and external coaching programs [2]. The company invests deeply in developing people leaders at all levels. Insider Buying (0/2): No evidence of meaningful net insider buying was found. The $1B share repurchase program ($495M completed) is board-level capital return rather than individual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Dynatrace's financial profile is strong for a high-growth software company. D/E of just 3.1% reflects a nearly debt-free balance sheet [4]. Revenue grew 18.2% YoY with 96% subscription revenue mix — among the highest quality revenue profiles in software. Q3 FY2026 revenue was $515M (beating $505.8M estimates) with 81.8% gross margin, 30% non-GAAP operating margin, and 30% pre-tax free cash flow margin [1]. ARR of $1.97B growing 20% demonstrates durable demand. Forward P/E of 18.8x is reasonable for 18%+ revenue growth with expanding margins. ROE of 7.0% is below target due to GAAP stock-based compensation depressing net income, but non-GAAP profitability is robust. Profit margin of 9.6% reflects GAAP SBC impact; non-GAAP operating margin is 29-30%. Free cash flow guidance of $505-515M provides strong cash generation. Liquidity floor easily cleared at $243M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Dynatrace under Rick McConnell demonstrates several infinite-game qualities: patient platform building, investment in people leadership, and a willingness to reinvent its technology stack around AI. The company plays a long game in observability, consistently expanding its platform rather than chasing short-term revenue from point solutions. The $1B buyback is the main finite-game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Dynatrace's vision of 'making the world's software work perfectly' is specific and connects to a broader purpose — reliable digital infrastructure underpins modern society. The company's consistent investment in AI-powered automation over 15+ years (from Dynatrace's founding through multiple technology transitions) demonstrates that the cause shapes strategic decisions. However, 'perfect software' is a functional goal rather than the kind of transformative Just Cause that inspires sacrifice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High-trust organization (2 points). Dynatrace was recognized by Glassdoor as one of the 50 best-led organizations in the US. CEO McConnell's 'people-first' approach includes immersive learning programs, peer mentoring, external coaching, and investment in developing leaders at all levels [2]. The 5,200-person workforce is highly specialized, and the company's consistent innovation output suggests empowered engineering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point). Dynatrace acknowledges Datadog's developer-led growth model, Splunk/Cisco's enterprise installed base, and New Relic's open-source approach, using competitive dynamics to continuously improve its platform [2]. The company competes on technology depth rather than competitor destruction, and management discussions reference learning from market dynamics rather than 'beating'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point). Dynatrace has evolved from legacy APM to unified observability to AI-powered autonomous operations, with each transition representing meaningful strategic adaptation. The expansion into log management ($100M+ annualized), security, and agentic AI observability are incremental but strategically important pivots [1]. However, the company has remained within the observability domain rather than making a transformative cross-industry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point). Dynatrace invested heavily in building a proprietary AI engine (Davis AI) over many years before 'AI' became a market buzzword, demonstrating conviction in long-term technology investment. The company's decision to build a unified platform rather than optimize for short-term land-and-expand metrics shows patience [1]. However, the $1B buyback program alongside a $10.8B market cap prioritizes financial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Dynatrace is the enterprise observability platform positioned to capture outsized demand as AI complexity explodes. Q3 FY2026 ARR reached $1.97B (up 20% YoY) with revenue of $515M beating estimates, 81.8% gross margins, 30% non-GAAP operating margin, and 30% pre-tax free cash flow margin [1]. The company raised FY2026 ARR guidance to $2.05-2.06B and is on track to surpass $2B in ARR. Log management surpassed $100M in annualized consumption, opening a massive expansion vector in the $65B TAM. Dynatrace Intelligence — the agentic AI observability platform — positions the company at the center of the next wave of enterprise AI adoption, where 72% of organizations already run agentic AI initiatives [2]. At 18.8x forward P/E with 18%+ revenue growth, near-zero debt (3.1% D/E), and $505-515M free cash flow guidance, the valuation is compelling for a durable growth compounder [4].</w:t>
      </w:r>
    </w:p>
    <w:p>
      <w:pPr>
        <w:spacing w:after="120"/>
      </w:pPr>
      <w:r>
        <w:rPr>
          <w:rFonts w:ascii="Calibri" w:hAnsi="Calibri"/>
          <w:b w:val="0"/>
          <w:color w:val="3A4A28"/>
          <w:sz w:val="20"/>
        </w:rPr>
        <w:t>The bear case centers on competitive intensity and valuation risk. Datadog's developer-led motion and broader product portfolio (80+ integrations) threaten Dynatrace's enterprise market share, particularly among cloud-native organizations that prefer best-of-breed tools over unified platforms. GAAP profit margin of 9.6% and ROE of 7.0% are depressed by significant stock-based compensation, which dilutes shareholders and inflates non-GAAP profitability. The $1B buyback program ($495M completed) partially offsets SBC but represents capital that could fund growth initiatives. Revenue growth has decelerated from 25%+ to 18%, and the 15.5-16% ARR growth guidance for FY2026 suggests further deceleration ahead. The stock has declined ~47% from its 52-week high of $61.4, reflecting market concern about software sector multiple compression and AI disruption of traditional observability workflows. Net revenue retention rates and new customer acquisition metrics have shown mixed signals, and the macro environment could pressure enterprise IT budgets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observability demand — 72% of organizations running agentic AI initiatives need Dynatrace Intelligence for governance, reliability, and real-time monitoring, creating a new product category [2]</w:t>
      </w:r>
    </w:p>
    <w:p>
      <w:pPr>
        <w:spacing w:before="40" w:after="40"/>
        <w:ind w:left="283"/>
      </w:pPr>
      <w:r>
        <w:rPr>
          <w:rFonts w:ascii="Calibri" w:hAnsi="Calibri"/>
          <w:b/>
          <w:color w:val="4A6B25"/>
          <w:sz w:val="20"/>
        </w:rPr>
        <w:t xml:space="preserve">2. </w:t>
      </w:r>
      <w:r>
        <w:rPr>
          <w:rFonts w:ascii="Calibri" w:hAnsi="Calibri"/>
          <w:b w:val="0"/>
          <w:color w:val="3A4A28"/>
          <w:sz w:val="20"/>
        </w:rPr>
        <w:t>Log management and security expansion — $100M+ annualized consumption milestone in logs opens the $65B TAM beyond core APM, driving platform consolidation wins [1]</w:t>
      </w:r>
    </w:p>
    <w:p>
      <w:pPr>
        <w:spacing w:before="40" w:after="40"/>
        <w:ind w:left="283"/>
      </w:pPr>
      <w:r>
        <w:rPr>
          <w:rFonts w:ascii="Calibri" w:hAnsi="Calibri"/>
          <w:b/>
          <w:color w:val="4A6B25"/>
          <w:sz w:val="20"/>
        </w:rPr>
        <w:t xml:space="preserve">3. </w:t>
      </w:r>
      <w:r>
        <w:rPr>
          <w:rFonts w:ascii="Calibri" w:hAnsi="Calibri"/>
          <w:b w:val="0"/>
          <w:color w:val="3A4A28"/>
          <w:sz w:val="20"/>
        </w:rPr>
        <w:t>ARR approaching $2B with raised guidance to $2.05-2.06B, free cash flow of $505-515M, and completed $500M buyback with new $1B authorization providing shareholder return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pressure from Datadog's broader product portfolio and developer-led growth motion, particularly among cloud-native enterprises that prefer best-of-breed observability tools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25%+ to 18% with ARR growth guidance of 15.5-16% suggesting further slowdown — multiple compression risk if growth dips below 15%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obscured by significant stock-based compensation — ROE of 7.0% and 9.6% GAAP profit margin mask the true economic cost of equity dilution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Dynatrace is not just immune to AI disruption — AI adoption directly increases demand for its platform. As enterprises deploy more AI agents, LLMs, and autonomous systems, they need observability to ensure reliability, security, and governance. Dynatrace's research shows 72% of organizations now run 2-10 agentic AI initiatives, and nearly 70% use observability during AI implementation [2]. AI makes software more complex, which is Dynatrace's core value proposition. The company IS AI infrastructure for enterprise operations. AI Opportunity (1/1): Dynatrace generates significant AI-driven revenue — the entire platform is AI-powered (causal AI, predictive AI, generative AI, agentic AI), and Dynatrace Intelligence is a new product category for autonomous operations. AI-related deals are a growing portion of new bookings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Dynatrace Q3 FY2026 Earnings Release — $515M revenue, $1.97B ARR (20% growth), 30% non-GAAP operating margin, February 9, 2026</w:t>
      </w:r>
    </w:p>
    <w:p>
      <w:pPr>
        <w:spacing w:before="20" w:after="20"/>
        <w:ind w:left="170"/>
      </w:pPr>
      <w:r>
        <w:rPr>
          <w:rFonts w:ascii="Calibri" w:hAnsi="Calibri"/>
          <w:b/>
          <w:color w:val="4A6B25"/>
          <w:sz w:val="15"/>
        </w:rPr>
        <w:t xml:space="preserve">2. </w:t>
      </w:r>
      <w:r>
        <w:rPr>
          <w:rFonts w:ascii="Calibri" w:hAnsi="Calibri"/>
          <w:b w:val="0"/>
          <w:color w:val="3A4A28"/>
          <w:sz w:val="17"/>
        </w:rPr>
        <w:t>Dynatrace Company Blog, AWS Executive Insights, Glassdoor — CEO Rick McConnell leadership, AI innovation, agentic AI observability, people-first culture,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Dynatrace Sustainability Report — ESG strong rating, Carbon Impact product, inaugural Global Impact Report,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DT (Dynatrace),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