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DVLT</w:t>
      </w:r>
      <w:r>
        <w:rPr>
          <w:rFonts w:ascii="Calibri" w:hAnsi="Calibri"/>
          <w:b/>
          <w:color w:val="1A2010"/>
          <w:sz w:val="40"/>
        </w:rPr>
        <w:t xml:space="preserve">  Datavault AI Inc.</w:t>
      </w:r>
    </w:p>
    <w:p>
      <w:pPr>
        <w:spacing w:after="120"/>
      </w:pPr>
      <w:r>
        <w:rPr>
          <w:rFonts w:ascii="Calibri" w:hAnsi="Calibri"/>
          <w:b/>
          <w:color w:val="6E8450"/>
          <w:sz w:val="18"/>
        </w:rPr>
        <w:t>GROWTH SLEEVE · 2026-03-23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Datavault AI provides AI-powered data tokenization and monetization services, enabling real-world asset (RWA) owners to tokenize and license data assets using patented technology. The company also operates CompuSystems for event data management and API Media Innovations.</w:t>
      </w:r>
    </w:p>
    <w:p>
      <w:r>
        <w:rPr>
          <w:rFonts w:ascii="Calibri" w:hAnsi="Calibri"/>
          <w:b/>
          <w:color w:val="6E8450"/>
          <w:sz w:val="18"/>
        </w:rPr>
        <w:t>100 Employees · https://www.datavaultai.com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Datavault AI grew revenue 1,362% YoY from $2.7M in 2024 to $39.1M in 2025, with its first profitable quarter in Q4 [1]. However, the company was previously a struggling micro-cap with Nasdaq compliance issues and going-concern warnings. AI Deployment (1/2): The company's core business involves AI-powered tokenization of real-world assets, with patented data technology [1]. Market Share (1/2): Dozens of governments and corporations in active discussions for RWA tokenization, but the addressable market is nascent and unproven at scale [1]. Pipeline (1/2): $200M 2026 revenue target (~400% YoY) is extraordinarily aggressive from a $39.1M base; secured $150M strategic investment for supercomputing and RWA initiatives [1]. R&amp;D Intensity (0/1): Limited evidence of sustained R&amp;D spending; growth driven by acquisitions (CompuSystems, API Media) rather than organic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'Democratizing data monetization through AI tokenization' is a legitimate technological mission but lacks the depth and clarity of established tech leaders [1]. The company's rapid pivot from obscurity to AI/tokenization raises credibility questions. Community Impact (1/2): RWA tokenization could theoretically democratize asset ownership, but no evidence of community impact programs. Employee Retention (0/2): No meaningful data on employee culture or retention; the company has approximately 100 employees and has grown primarily through acquisition [1]. Insider Buying (1/2): Management has shown conviction through equity-based compensation, but the company's history of Nasdaq compliance issues is concerning.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Despite the first profitable quarter in Q4 2025 ($4.2M operating profit on $33.8M revenue), Datavault's overall financial profile remains extremely high-risk [1]. Annual profit margin is -202.1%, ROE is -48.8%, and D/E of 6.4% is low but misleading given the company's micro-cap status [6]. The going-concern flag, Nasdaq compliance history, and 78% gross margin on potentially non-recurring tokenization revenue raise quality concerns. Revenue of $39.1M is concentrated in Q4 ($33.8M), suggesting lumpiness. The $200M 2026 target requires a &gt;5x ramp from Q1-Q3 2025 run rate. Liquidity floor cleared: 73.1M avg volume at $0.68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Datavault AI shows hallmarks of a finite game player — aggressive revenue targets, acquisition-driven growth, and a rapid pivot from obscurity to AI/tokenization buzzwords. The company's history of Nasdaq compliance issues and going-concern warnings suggest short-term survival focus rather than long-term vision.</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stated mission of democratizing data monetization through tokenization is technologically interesting but lacks the depth, credibility, and organizational commitment that define a true just cause [1]. The company's rapid reinvention from micro-cap obscurity to AI darling raises questions about whether the cause drives strategy or vice versa.</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approximately 100 employees and growth driven by acquisitions (CompuSystems, API Media), building cohesive teams across acquired entities is challenging [1]. No meaningful data on employee satisfaction, retention, or cultural values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Datavault operates in the nascent RWA tokenization space where competition is undefined. The company doesn't publicly acknowledge or learn from competitors, which could indicate either a truly novel position or a lack of market awareness.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has shown flexibility in pivoting its business model and acquiring complementary companies [1]. However, the rapid strategy shifts suggest opportunism rather than the kind of purposeful pivoting that characterizes infinite game players.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Setting a $200M revenue target on a $39.1M base is bold but borders on reckless given the company's history of Nasdaq compliance issues and going-concern warnings [1]. True courage requires a track record of principled decision-making that Datavault has yet to demonstrate.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Datavault AI achieved its first profitable quarter in Q4 2025 with $33.8M revenue and $4.2M operating profit, while full-year revenue surged 1,362% to $39.1M [1]. The company's AI-powered real-world asset tokenization technology has attracted dozens of government and corporate clients, and a $150M strategic investment supports supercomputing and RWA expansion [1]. With 78% gross margins and $116M in working capital, the financial foundation has improved dramatically. The $200M 2026 revenue target, if achieved, would represent further 400% growth [1].</w:t>
      </w:r>
    </w:p>
    <w:p>
      <w:pPr>
        <w:spacing w:after="120"/>
      </w:pPr>
      <w:r>
        <w:rPr>
          <w:rFonts w:ascii="Calibri" w:hAnsi="Calibri"/>
          <w:b w:val="0"/>
          <w:color w:val="3A4A28"/>
          <w:sz w:val="20"/>
        </w:rPr>
        <w:t>The bear case is severe. Datavault's revenue is extraordinarily concentrated — Q4 accounted for $33.8M of the $39.1M annual total, raising questions about sustainability and revenue recognition quality [1]. The company carries going-concern warnings, a history of Nasdaq compliance issues, and potential dilution from future issuances. The $200M 2026 target requires maintaining a run rate 5x higher than Q1-Q3 2025 averages, which appears unrealistic. The stock dropped 14% on the earnings announcement despite the beat, suggesting market skepticism. RWA tokenization is an unproven market with unclear demand at scale, and larger competitors (including major blockchain platforms) could easily enter. The sub-$1 stock price and $395M market cap reflect the speculative nature of this investment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Converting active government and corporate tokenization discussions into signed multi-year contracts that validate the $200M 2026 revenue target [1]</w:t>
      </w:r>
    </w:p>
    <w:p>
      <w:pPr>
        <w:spacing w:before="40" w:after="40"/>
        <w:ind w:left="283"/>
      </w:pPr>
      <w:r>
        <w:rPr>
          <w:rFonts w:ascii="Calibri" w:hAnsi="Calibri"/>
          <w:b/>
          <w:color w:val="4A6B25"/>
          <w:sz w:val="20"/>
        </w:rPr>
        <w:t xml:space="preserve">2. </w:t>
      </w:r>
      <w:r>
        <w:rPr>
          <w:rFonts w:ascii="Calibri" w:hAnsi="Calibri"/>
          <w:b w:val="0"/>
          <w:color w:val="3A4A28"/>
          <w:sz w:val="20"/>
        </w:rPr>
        <w:t>Supercomputing infrastructure deployment funded by $150M strategic investment, potentially creating recurring revenue streams [1]</w:t>
      </w:r>
    </w:p>
    <w:p>
      <w:pPr>
        <w:spacing w:before="40" w:after="40"/>
        <w:ind w:left="283"/>
      </w:pPr>
      <w:r>
        <w:rPr>
          <w:rFonts w:ascii="Calibri" w:hAnsi="Calibri"/>
          <w:b/>
          <w:color w:val="4A6B25"/>
          <w:sz w:val="20"/>
        </w:rPr>
        <w:t xml:space="preserve">3. </w:t>
      </w:r>
      <w:r>
        <w:rPr>
          <w:rFonts w:ascii="Calibri" w:hAnsi="Calibri"/>
          <w:b w:val="0"/>
          <w:color w:val="3A4A28"/>
          <w:sz w:val="20"/>
        </w:rPr>
        <w:t>Patent portfolio monetization through licensing agreements with RWA platform operators and financial institutions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concentration in Q4 2025 ($33.8M of $39.1M total) — if tokenization deals are lumpy one-time transactions, the $200M 2026 target is unachievable [1]</w:t>
      </w:r>
    </w:p>
    <w:p>
      <w:pPr>
        <w:spacing w:before="40" w:after="40"/>
        <w:ind w:left="283"/>
      </w:pPr>
      <w:r>
        <w:rPr>
          <w:rFonts w:ascii="Calibri" w:hAnsi="Calibri"/>
          <w:b/>
          <w:color w:val="4A6B25"/>
          <w:sz w:val="20"/>
        </w:rPr>
        <w:t xml:space="preserve">2. </w:t>
      </w:r>
      <w:r>
        <w:rPr>
          <w:rFonts w:ascii="Calibri" w:hAnsi="Calibri"/>
          <w:b w:val="0"/>
          <w:color w:val="3A4A28"/>
          <w:sz w:val="20"/>
        </w:rPr>
        <w:t>Going-concern history and Nasdaq compliance risk — the company could face delisting if it fails to maintain listing requirements [1]</w:t>
      </w:r>
    </w:p>
    <w:p>
      <w:pPr>
        <w:spacing w:before="40" w:after="40"/>
        <w:ind w:left="283"/>
      </w:pPr>
      <w:r>
        <w:rPr>
          <w:rFonts w:ascii="Calibri" w:hAnsi="Calibri"/>
          <w:b/>
          <w:color w:val="4A6B25"/>
          <w:sz w:val="20"/>
        </w:rPr>
        <w:t xml:space="preserve">3. </w:t>
      </w:r>
      <w:r>
        <w:rPr>
          <w:rFonts w:ascii="Calibri" w:hAnsi="Calibri"/>
          <w:b w:val="0"/>
          <w:color w:val="3A4A28"/>
          <w:sz w:val="20"/>
        </w:rPr>
        <w:t>Unproven market for RWA tokenization at scale — larger tech and blockchain companies could commoditize the technology, eliminating Datavault's first-mover advantage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Datavault positions itself as an AI-native company using artificial intelligence for data tokenization and monetization [1]. The technology is AI-dependent, meaning AI enhances rather than threatens the business model. However, the barrier to entry for AI-powered tokenization is unclear, and larger tech companies could easily replicate the concept. AI Opportunity (1/1): Real-world asset tokenization is a growing trend, and AI integration could differentiate Datavault's offerings if the technology proves defensible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Datavault AI Q4 and Full Year 2025 Earnings Release, March 19, 2026</w:t>
      </w:r>
    </w:p>
    <w:p>
      <w:pPr>
        <w:spacing w:before="20" w:after="20"/>
        <w:ind w:left="170"/>
      </w:pPr>
      <w:r>
        <w:rPr>
          <w:rFonts w:ascii="Calibri" w:hAnsi="Calibri"/>
          <w:b/>
          <w:color w:val="4A6B25"/>
          <w:sz w:val="15"/>
        </w:rPr>
        <w:t xml:space="preserve">2. </w:t>
      </w:r>
      <w:r>
        <w:rPr>
          <w:rFonts w:ascii="Calibri" w:hAnsi="Calibri"/>
          <w:b w:val="0"/>
          <w:color w:val="3A4A28"/>
          <w:sz w:val="17"/>
        </w:rPr>
        <w:t>Datavault AI investor updates and revenue guidance raises, 2025-2026</w:t>
      </w:r>
    </w:p>
    <w:p>
      <w:pPr>
        <w:spacing w:before="20" w:after="20"/>
        <w:ind w:left="170"/>
      </w:pPr>
      <w:r>
        <w:rPr>
          <w:rFonts w:ascii="Calibri" w:hAnsi="Calibri"/>
          <w:b/>
          <w:color w:val="4A6B25"/>
          <w:sz w:val="15"/>
        </w:rPr>
        <w:t xml:space="preserve">3. </w:t>
      </w:r>
      <w:r>
        <w:rPr>
          <w:rFonts w:ascii="Calibri" w:hAnsi="Calibri"/>
          <w:b w:val="0"/>
          <w:color w:val="3A4A28"/>
          <w:sz w:val="17"/>
        </w:rPr>
        <w:t>StockTitan — Datavault AI 2026 revenue outlook and tokenization strategy coverage</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DVLT (Datavault AI), retrieved March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