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DVN</w:t>
      </w:r>
      <w:r>
        <w:rPr>
          <w:rFonts w:ascii="Calibri" w:hAnsi="Calibri"/>
          <w:b/>
          <w:color w:val="1A2010"/>
          <w:sz w:val="40"/>
        </w:rPr>
        <w:t xml:space="preserve">  Devon Energy Corporation</w:t>
      </w:r>
    </w:p>
    <w:p>
      <w:pPr>
        <w:spacing w:after="120"/>
      </w:pPr>
      <w:r>
        <w:rPr>
          <w:rFonts w:ascii="Calibri" w:hAnsi="Calibri"/>
          <w:b/>
          <w:color w:val="6E8450"/>
          <w:sz w:val="18"/>
        </w:rPr>
        <w:t>DIVIDEND SLEEVE · 2026-03-24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Exploration and Production · NYSE · United States</w:t>
      </w:r>
    </w:p>
    <w:p>
      <w:pPr>
        <w:spacing w:after="80"/>
      </w:pPr>
      <w:r>
        <w:rPr>
          <w:rFonts w:ascii="Calibri" w:hAnsi="Calibri"/>
          <w:b w:val="0"/>
          <w:color w:val="3A4A28"/>
          <w:sz w:val="20"/>
        </w:rPr>
        <w:t>Devon Energy is a leading independent oil and gas producer with operations in the Delaware Basin, Anadarko Basin, Eagle Ford, Powder River Basin, and Williston Basin. The company generated $16B in revenue and $2.64B in profits over the trailing twelve months, with a 1x net debt-to-EBITDAX ratio representing one of the strongest balance sheets in E&amp;P. Devon is in the process of merging with Coterra Energy in an all-stock transaction targeting $1B in annual synergies; the combined company will increase the quarterly dividend 31% at closing.</w:t>
      </w:r>
    </w:p>
    <w:p>
      <w:r>
        <w:rPr>
          <w:rFonts w:ascii="Calibri" w:hAnsi="Calibri"/>
          <w:b/>
          <w:color w:val="6E8450"/>
          <w:sz w:val="18"/>
        </w:rPr>
        <w:t>4,600 Employees · https://www.devonenergy.com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Devon demonstrates above-average innovation for an E&amp;P company. Track record (2/3): Devon's 'ChatDVN 3.0' proprietary AI platform — used daily by more than 50% of employees — and the $244M investment in geothermal energy company Fervo Energy represent genuine pivots beyond traditional oil and gas operations; the Coterra merger represents a transformative portfolio combination [1]. AI deployment (2/2): ChatDVN 3.0, camera analytics for hazard detection and emissions monitoring across US operations, and plans for AI-driven video analytics in 2026 represent specific, measurable AI deployments — one of the strongest AI programs in independent E&amp;P [1]. Market share (1/2): Devon is a top-tier Delaware Basin operator but not the category leader (Occidental, Pioneer/ExxonMobil, and Diamondback have larger positions) [1]. Pipeline (1/2): Coterra merger synergies, 2026 gas marketing agreements (115 MMcf/d), and AI operational improvements provide defined near-term value creation milestones [1][2]. R&amp;D intensity (0/1): E&amp;P companies invest in drilling technology but not formal R&amp;D at top-quartile levels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Devon's purpose — 'delivering value to shareholders while operating responsibly and sustainably' — is functional but not transformative; it describes stakeholder management rather than a Just Cause [3]. Community impact (1/2): Devon has documented community investment in Oklahoma, Wyoming, and Texas oil communities, and the Fervo Energy investment signals commitment to geothermal as a clean energy transition play [1]. Employee retention (2/2): more than 50% of employees using ChatDVN 3.0 daily indicates a genuinely engaged, tech-forward workforce — this level of internal AI adoption requires cultural buy-in, not just mandates [1]. Insider buying (1/2): Devon management returned $2.2B to shareholders in 2025 through dividends and buybacks; specific insider open-market purchases were not cited but equity-linked compensation is substantial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DVN is a Dividend sleeve stock. Key metrics: D/E of 55% below 70% target: score = 1.0. ROE of 17.74% above 15% target: score = 1.0. Revenue growth YoY approximately -5%: score = (-5-(-20))/(10-(-20)) = 0.50. Revenue 5yr CAGR approximately 8%: score = (8-(-5))/(10-(-5)) = 0.867. Forward P/E of 12.50 well below target: score = 1.0. Profit margin of 16.47% below 20% target: score = 16.47/20 = 0.82. Payout ratio approximately 22%: score = (100-22)/(100-40) = 1.30 → capped 1.0 (×1 weight). Consec years paid approximately 30+ (Devon has paid dividends for over 30 years): score = 1.0 (×2 weight). Consec years growth variable (Devon's dividend model ties to FCF; the 31% increase at Coterra close represents growth): consec growth approximately 3 years of the variable dividend model: score = 0.30. 5yr div growth CAGR approximately 5%: score = 5/6 = 0.83 (×2 weight). Weighted: D/E(1.0) + ROE(1.0) + RevYoY(0.50) + Rev5yr(0.867) + FwdPE(1.0) + Margin(0.82) + Payout(1.0) + ConsecPaid(1.0×2=2.0) + ConsecGrowth(0.30) + DivGrowth5yr(0.83×2=1.66) = 10.15/12 → score = 8. Adjusted down to 7 for declining revenue and variable dividend structure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Devon Energy's 50+ year operating history in US onshore oil and gas, industry-leading AI adoption (ChatDVN 3.0 with 50%+ daily employee usage), $244M geothermal investment, and consistent shareholder return program reflect an organization that plays for the long term. The Coterra merger represents the kind of existential flexibility Sinek would recognize. However, the variable dividend structure and commodity-driven business model create finite-game pressures that limit the Infinite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Devon's implicit Just Cause — responsibly developing American energy resources while transitioning to a sustainable energy future — is becoming more clearly articulated through the Fervo Energy investment and AI operational improvements. The company's consistent reinvestment in operational excellence and the geothermal bet suggest mission beyond pure shareholder returns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More than 50% of Devon's employees using ChatDVN 3.0 daily is the strongest indicator of a trusting, mission-engaged workforce in this batch. That level of voluntary AI adoption requires leadership that communicates openly about why AI helps the organization and employees, and trusts employees to use new tools responsibly [1].</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Devon explicitly acknowledges Pioneer/ExxonMobil, Diamondback, and Coterra as worthy rivals — and the Coterra merger represents the ultimate worthy-rival acknowledgment: recognizing a competitor's complementary strengths and combining to improve both companies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Coterra merger represents genuine existential flexibility — the decision to merge with a rival to achieve scale and synergies rather than competing in isolation. The $244M Fervo Energy geothermal investment represents early-stage portfolio diversification toward clean energy. These are incremental rather than transformative pivots for a company still 95%+ oil and gas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Devon's $1B cost-savings target (85% captured in less than one year), $2.2B returned to shareholders in 2025 through dividends and buybacks, and the transformative Coterra merger all reflect pattern-of-courage leadership. However, the variable dividend model — which reduces dividends when oil prices fall — is a pragmatic response to commodity risk rather than a truly courageous commitment to income investors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Devon Energy offers a compelling combination of financial quality (10.66x trailing P/E, 17.74% ROE, $2.80B FCF, 0.9x net debt-to-EBITDAX), unique AI culture (ChatDVN 3.0 with 50%+ daily adoption), and a transformative Coterra merger that will increase the dividend 31%, reduce the share count, and generate $1B in annual synergies. The natural gas marketing agreements (115 MMcf/d starting 2028) directly monetize AI data center demand, creating a differentiated revenue stream. Multiple analyst upgrades in March 2026 (TD Cowen to $50, Mizuho to $62, BofA to $53) validate the setup [1][2].</w:t>
      </w:r>
    </w:p>
    <w:p>
      <w:pPr>
        <w:spacing w:after="120"/>
      </w:pPr>
      <w:r>
        <w:rPr>
          <w:rFonts w:ascii="Calibri" w:hAnsi="Calibri"/>
          <w:b w:val="0"/>
          <w:color w:val="3A4A28"/>
          <w:sz w:val="20"/>
        </w:rPr>
        <w:t>The bear case centers on commodity price risk: Henry Hub natural gas prices spiked to $13.80/MMBtu in late January 2026 before collapsing to $2.99/MMBtu by March 6 — a 78% swing in 6 weeks that illustrates the volatility Devon's FCF model is exposed to. Oil prices are also uncertain with OPEC+ supply decisions and tariff-driven demand headwinds. Revenue declined 5% in the trailing twelve months, and the PEG of 4.17 suggests the market is pricing in limited earnings growth even after the Coterra merger synergies. The variable dividend (tied to FCF) could fall significantly in a commodity bear market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Coterra merger closing — the all-stock combination targeting $1B in annual synergies and a 31% dividend increase is the single biggest near-term catalyst; timeline and regulatory approval are the key variables</w:t>
      </w:r>
    </w:p>
    <w:p>
      <w:pPr>
        <w:spacing w:before="40" w:after="40"/>
        <w:ind w:left="283"/>
      </w:pPr>
      <w:r>
        <w:rPr>
          <w:rFonts w:ascii="Calibri" w:hAnsi="Calibri"/>
          <w:b/>
          <w:color w:val="4A6B25"/>
          <w:sz w:val="20"/>
        </w:rPr>
        <w:t xml:space="preserve">2. </w:t>
      </w:r>
      <w:r>
        <w:rPr>
          <w:rFonts w:ascii="Calibri" w:hAnsi="Calibri"/>
          <w:b w:val="0"/>
          <w:color w:val="3A4A28"/>
          <w:sz w:val="20"/>
        </w:rPr>
        <w:t>2026 gas marketing agreement commencement in 2028 — Devon's two long-term gas contracts (50 MMcf/d LNG export + 65 MMcf/d power plant) represent contracted revenues that de-risk the natural gas price volatility concern starting in 2028</w:t>
      </w:r>
    </w:p>
    <w:p>
      <w:pPr>
        <w:spacing w:before="40" w:after="40"/>
        <w:ind w:left="283"/>
      </w:pPr>
      <w:r>
        <w:rPr>
          <w:rFonts w:ascii="Calibri" w:hAnsi="Calibri"/>
          <w:b/>
          <w:color w:val="4A6B25"/>
          <w:sz w:val="20"/>
        </w:rPr>
        <w:t xml:space="preserve">3. </w:t>
      </w:r>
      <w:r>
        <w:rPr>
          <w:rFonts w:ascii="Calibri" w:hAnsi="Calibri"/>
          <w:b w:val="0"/>
          <w:color w:val="3A4A28"/>
          <w:sz w:val="20"/>
        </w:rPr>
        <w:t>ChatDVN 3.0 operational savings quantification — any public disclosure of specific AI-driven cost savings from the program would differentiate Devon from peers and support a premium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volatility: natural gas prices declined 78% in 6 weeks (from $13.80 to $2.99/MMBtu) in early 2026; Devon's variable dividend is highly exposed to this volatility, and a sustained low commodity price environment would reduce dividends and buyback capacity</w:t>
      </w:r>
    </w:p>
    <w:p>
      <w:pPr>
        <w:spacing w:before="40" w:after="40"/>
        <w:ind w:left="283"/>
      </w:pPr>
      <w:r>
        <w:rPr>
          <w:rFonts w:ascii="Calibri" w:hAnsi="Calibri"/>
          <w:b/>
          <w:color w:val="4A6B25"/>
          <w:sz w:val="20"/>
        </w:rPr>
        <w:t xml:space="preserve">2. </w:t>
      </w:r>
      <w:r>
        <w:rPr>
          <w:rFonts w:ascii="Calibri" w:hAnsi="Calibri"/>
          <w:b w:val="0"/>
          <w:color w:val="3A4A28"/>
          <w:sz w:val="20"/>
        </w:rPr>
        <w:t>Coterra merger integration risk: all-stock mergers of this scale involve complex integration of cultures, systems, and operations; execution failure could impair the $1B synergy target</w:t>
      </w:r>
    </w:p>
    <w:p>
      <w:pPr>
        <w:spacing w:before="40" w:after="40"/>
        <w:ind w:left="283"/>
      </w:pPr>
      <w:r>
        <w:rPr>
          <w:rFonts w:ascii="Calibri" w:hAnsi="Calibri"/>
          <w:b/>
          <w:color w:val="4A6B25"/>
          <w:sz w:val="20"/>
        </w:rPr>
        <w:t xml:space="preserve">3. </w:t>
      </w:r>
      <w:r>
        <w:rPr>
          <w:rFonts w:ascii="Calibri" w:hAnsi="Calibri"/>
          <w:b w:val="0"/>
          <w:color w:val="3A4A28"/>
          <w:sz w:val="20"/>
        </w:rPr>
        <w:t>Oil demand secular risk: while AI data center natural gas demand provides a positive structural trend, global oil demand is entering a period of uncertainty from EV adoption and fuel efficiency improvements — Devon's 53% oil production ratio creates long-term demand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Devon Energy's physical oil and gas extraction operations are structurally immune to AI substitution — hydrocarbons must be physically drilled and produced from the Delaware Basin and other basins using drilling equipment, wellbore infrastructure, and production facilities that AI cannot replace. AI is actually a significant demand tailwind for Devon: the company signed two long-term gas marketing agreements in 2025 (115 MMcf/d total, starting 2028) specifically serving AI data center power demand [2]. AI Opportunity (1/1): Devon's ChatDVN 3.0 platform and camera analytics programs represent documented internal AI deployment reducing operational costs and improving safety — qualifying for the tiebreaker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Devon Energy Q4 2025 Earnings Release and Full Year 2025 Results — investors.devonenergy.com</w:t>
      </w:r>
    </w:p>
    <w:p>
      <w:pPr>
        <w:spacing w:before="20" w:after="20"/>
        <w:ind w:left="170"/>
      </w:pPr>
      <w:r>
        <w:rPr>
          <w:rFonts w:ascii="Calibri" w:hAnsi="Calibri"/>
          <w:b/>
          <w:color w:val="4A6B25"/>
          <w:sz w:val="15"/>
        </w:rPr>
        <w:t xml:space="preserve">2. </w:t>
      </w:r>
      <w:r>
        <w:rPr>
          <w:rFonts w:ascii="Calibri" w:hAnsi="Calibri"/>
          <w:b w:val="0"/>
          <w:color w:val="3A4A28"/>
          <w:sz w:val="17"/>
        </w:rPr>
        <w:t>Devon Energy AI Initiatives and Gas Marketing Agreements, 2025–2026</w:t>
      </w:r>
    </w:p>
    <w:p>
      <w:pPr>
        <w:spacing w:before="20" w:after="20"/>
        <w:ind w:left="170"/>
      </w:pPr>
      <w:r>
        <w:rPr>
          <w:rFonts w:ascii="Calibri" w:hAnsi="Calibri"/>
          <w:b/>
          <w:color w:val="4A6B25"/>
          <w:sz w:val="15"/>
        </w:rPr>
        <w:t xml:space="preserve">3. </w:t>
      </w:r>
      <w:r>
        <w:rPr>
          <w:rFonts w:ascii="Calibri" w:hAnsi="Calibri"/>
          <w:b w:val="0"/>
          <w:color w:val="3A4A28"/>
          <w:sz w:val="17"/>
        </w:rPr>
        <w:t>Devon Energy corporate website — devonenergy.com</w:t>
      </w:r>
    </w:p>
    <w:p>
      <w:pPr>
        <w:spacing w:before="20" w:after="20"/>
        <w:ind w:left="170"/>
      </w:pPr>
      <w:r>
        <w:rPr>
          <w:rFonts w:ascii="Calibri" w:hAnsi="Calibri"/>
          <w:b/>
          <w:color w:val="4A6B25"/>
          <w:sz w:val="15"/>
        </w:rPr>
        <w:t xml:space="preserve">4. </w:t>
      </w:r>
      <w:r>
        <w:rPr>
          <w:rFonts w:ascii="Calibri" w:hAnsi="Calibri"/>
          <w:b w:val="0"/>
          <w:color w:val="3A4A28"/>
          <w:sz w:val="17"/>
        </w:rPr>
        <w:t>StockAnalysis.com — DVN statistics and valuation,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Oil Gas Leads — 'Devon Energy's AI Strategy: From Buzzwords to Barrels,'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