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DVS</w:t>
      </w:r>
      <w:r>
        <w:rPr>
          <w:rFonts w:ascii="Calibri" w:hAnsi="Calibri"/>
          <w:b/>
          <w:color w:val="1A2010"/>
          <w:sz w:val="40"/>
        </w:rPr>
        <w:t xml:space="preserve">  Dolly Varden Silver Corporation</w:t>
      </w:r>
    </w:p>
    <w:p>
      <w:pPr>
        <w:spacing w:after="120"/>
      </w:pPr>
      <w:r>
        <w:rPr>
          <w:rFonts w:ascii="Calibri" w:hAnsi="Calibri"/>
          <w:b/>
          <w:color w:val="6E8450"/>
          <w:sz w:val="18"/>
        </w:rPr>
        <w:t>GROWTH SLEEVE · 2026-04-25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Silver · TSX-V · Canada</w:t>
      </w:r>
    </w:p>
    <w:p>
      <w:pPr>
        <w:spacing w:after="80"/>
      </w:pPr>
      <w:r>
        <w:rPr>
          <w:rFonts w:ascii="Calibri" w:hAnsi="Calibri"/>
          <w:b w:val="0"/>
          <w:color w:val="3A4A28"/>
          <w:sz w:val="20"/>
        </w:rPr>
        <w:t>Dolly Varden Silver Corporation was a Canadian exploration-stage silver and gold mining company focused on the Kitsault Valley district in British Columbia. The company held 100% ownership of approximately 100,000 hectares of prospective land. DVS completed a merger with Contango ORE in December 2025, creating a combined mid-tier precious metals company now trading as CTGO. DVS was delisted in March 2026.</w:t>
      </w:r>
    </w:p>
    <w:p>
      <w:r>
        <w:rPr>
          <w:rFonts w:ascii="Calibri" w:hAnsi="Calibri"/>
          <w:b/>
          <w:color w:val="6E8450"/>
          <w:sz w:val="18"/>
        </w:rPr>
        <w:t>30 Employees · https://dollyvardensilver.com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Dolly Varden grew from a $20M market cap to ~$600M under CEO Shawn Khunkhun, raising over $185M in equity and consolidating 85,000 hectares of prospective land in 2025 [1]. However, as a pre-revenue exploration company, there are no product launches or business model transformations — growth came from land acquisition and resource delineation. AI Deployment (0/2): No AI deployment or strategy evident; mineral exploration remains a traditional geology-driven process with no AI integration reported [2]. Market Share (1/2): DVS assembled the largest contiguous land position in the Kitsault Valley silver district in British Columbia, making it a meaningful player in high-grade silver exploration in a tier-1 jurisdiction [1]. Pipeline (0/2): While a new resource estimate was planned for H1 2026, the company was acquired before delivering it, and no specific production timeline or revenue visibility existed [1]. R&amp;D Intensity (0/1): No R&amp;D spending as a percentage of revenue — the company is pre-revenue with exploration expenditures only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Dolly Varden's stated purpose was generic for a junior miner — focused on creating shareholder value through exploration and development of precious metals properties. No distinctive mission beyond resource discovery [2]. Community Impact (1/2): The company maintained ESG &amp; Safety Committee governance and expressed commitment to environmental protection, human rights, and community engagement in its operating jurisdictions in British Columbia [3]. However, no specific charitable programs or dollar amounts were identified. Employee Retention (0/2): No retention data available for a company of approximately 30 employees, primarily seasonal exploration staff [2]. Insider Buying (1/2): CEO Shawn Khunkhun maintained significant equity exposure throughout his tenure, growing the company from $20M to $600M market cap, though specific insider purchase data in the final 12 months was not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Dolly Varden was a pre-revenue exploration-stage company with no earnings, generating a net loss of -$23.15M [4]. ROE of -27.1% is deeply negative, reflecting ongoing exploration spending with zero revenue generation [4]. Profit margin is 0% as the company has never produced or sold any minerals. The combined entity (Contango) claims over US$100M in cash and US$100M in expected annual free cash flow from Manh Choh operations [5], but those economics belong to CTGO, not DVS as screened. No P/E ratio, no forward P/E, no dividend, and no PEG ratio exist for a pre-revenue explorer. With only ROE (0.0, 2x weight) and profit margin (0.0, 1x weight) scoreable, the mechanical calculation yields 0/10. Liquidity check: 1.43M avg volume × $2.74 = $3.9M — passes the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Dolly Varden played a finite game typical of junior miners — acquire land, delineate resources, and sell the company to a larger player. The December 2025 merger with Contango ORE was the natural endpoint, converting exploration optionality into a mid-tier production platform. While the strategy was executed well, it was explicitly a game with an exit, not a cause to advance indefinitely.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Dolly Varden's purpose was generic shareholder value creation through precious metals exploration — a perfectly rational business objective but not a Just Cause in Sinek's framework [2]. The company existed to find silver, prove up a resource, and exit via acquisition or production decision. That is a finite game with a clear endpoint, not an idealistic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management team was small but stable. CEO Shawn Khunkhun led the company through its entire growth phase from $20M to $600M market cap, and the merger transition retained key personnel including Khunkhun as President of the combined entity [2]. For a junior miner with ~30 employees, this continuity is adequate but there is no evidence of exceptional cultural practices.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Dolly Varden's competitive strategy focused on consolidating land in the Kitsault Valley to become the dominant player in the district — a land-grab strategy aimed at winning control rather than learning from rivals [1]. The merger with Contango was about scale, not about competitive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merger with Contango ORE in December 2025 demonstrated strategic flexibility — DVS transformed from a pure exploration company into part of a diversified production-exploration platform spanning Alaska and British Columbia [5]. The combination added immediate cash flow from the Manh Choh gold mine, shifting from pure optionality to a production base. However, this was a natural exit rather than a cause-driven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Khunkhun showed courage in raising $185M in equity to fund exploration during volatile commodity markets, growing the land position from minimal to 100,000 hectares when silver prices were uncertain [1]. The decision to merge with Contango rather than pursue standalone development was pragmatic, recognizing the company needed production cash flow to fully unlock its exploration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Dolly Varden Silver assembled a compelling district-scale silver exploration position in British Columbia's Kitsault Valley, growing from a $20M junior miner to a ~$600M company under CEO Shawn Khunkhun [1]. The merger with Contango ORE in December 2025 created a diversified precious metals platform combining Contango's 30% stake in the high-grade Manh Choh gold mine (expected 60,000 oz annual production) with DVS's 100,000-hectare silver exploration portfolio [5]. The combined entity holds over US$100M in cash and expects ~US$100M in annual free cash flow, providing non-dilutive funding for exploration and development.</w:t>
      </w:r>
    </w:p>
    <w:p>
      <w:pPr>
        <w:spacing w:after="120"/>
      </w:pPr>
      <w:r>
        <w:rPr>
          <w:rFonts w:ascii="Calibri" w:hAnsi="Calibri"/>
          <w:b w:val="0"/>
          <w:color w:val="3A4A28"/>
          <w:sz w:val="20"/>
        </w:rPr>
        <w:t>DVS was delisted in March 2026 following the completed Contango merger, making this a legacy screen only [4]. The bear case centers on the fundamental limitations of a pre-revenue exploration company: zero revenue, -$23.15M net loss, no earnings visibility, and complete dependence on commodity prices and drilling success. Silver exploration carries binary risk — resource estimates may disappoint, permitting timelines can extend indefinitely, and the capital intensity of moving from discovery to production typically requires further dilution or sale. Investors seeking exposure to this portfolio should evaluate CTGO (Contango Silver &amp; Gold) as the successor entity. DVS as a standalone entity no longer exists.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Contango merger creates a fully funded production-exploration platform with US$100M expected annual free cash flow from Manh Choh mine operations [5]</w:t>
      </w:r>
    </w:p>
    <w:p>
      <w:pPr>
        <w:spacing w:before="40" w:after="40"/>
        <w:ind w:left="283"/>
      </w:pPr>
      <w:r>
        <w:rPr>
          <w:rFonts w:ascii="Calibri" w:hAnsi="Calibri"/>
          <w:b/>
          <w:color w:val="4A6B25"/>
          <w:sz w:val="20"/>
        </w:rPr>
        <w:t xml:space="preserve">2. </w:t>
      </w:r>
      <w:r>
        <w:rPr>
          <w:rFonts w:ascii="Calibri" w:hAnsi="Calibri"/>
          <w:b w:val="0"/>
          <w:color w:val="3A4A28"/>
          <w:sz w:val="20"/>
        </w:rPr>
        <w:t>New resource estimate for the Kitsault Valley district expected H1 2026, potentially unlocking significant silver resources across the 100,000-hectare land package [1]</w:t>
      </w:r>
    </w:p>
    <w:p>
      <w:pPr>
        <w:spacing w:before="40" w:after="40"/>
        <w:ind w:left="283"/>
      </w:pPr>
      <w:r>
        <w:rPr>
          <w:rFonts w:ascii="Calibri" w:hAnsi="Calibri"/>
          <w:b/>
          <w:color w:val="4A6B25"/>
          <w:sz w:val="20"/>
        </w:rPr>
        <w:t xml:space="preserve">3. </w:t>
      </w:r>
      <w:r>
        <w:rPr>
          <w:rFonts w:ascii="Calibri" w:hAnsi="Calibri"/>
          <w:b w:val="0"/>
          <w:color w:val="3A4A28"/>
          <w:sz w:val="20"/>
        </w:rPr>
        <w:t>Rising silver demand from AI infrastructure, electronics, and solar energy applications providing secular tailwind for the underlying commodity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DVS is delisted as of March 2026 — investors cannot buy or sell shares and must evaluate CTGO as the successor entity [4]</w:t>
      </w:r>
    </w:p>
    <w:p>
      <w:pPr>
        <w:spacing w:before="40" w:after="40"/>
        <w:ind w:left="283"/>
      </w:pPr>
      <w:r>
        <w:rPr>
          <w:rFonts w:ascii="Calibri" w:hAnsi="Calibri"/>
          <w:b/>
          <w:color w:val="4A6B25"/>
          <w:sz w:val="20"/>
        </w:rPr>
        <w:t xml:space="preserve">2. </w:t>
      </w:r>
      <w:r>
        <w:rPr>
          <w:rFonts w:ascii="Calibri" w:hAnsi="Calibri"/>
          <w:b w:val="0"/>
          <w:color w:val="3A4A28"/>
          <w:sz w:val="20"/>
        </w:rPr>
        <w:t>Pre-revenue exploration company with -$23.15M net loss and zero revenue — all value was optionality on future resource discoveries that may never materialize [4]</w:t>
      </w:r>
    </w:p>
    <w:p>
      <w:pPr>
        <w:spacing w:before="40" w:after="40"/>
        <w:ind w:left="283"/>
      </w:pPr>
      <w:r>
        <w:rPr>
          <w:rFonts w:ascii="Calibri" w:hAnsi="Calibri"/>
          <w:b/>
          <w:color w:val="4A6B25"/>
          <w:sz w:val="20"/>
        </w:rPr>
        <w:t xml:space="preserve">3. </w:t>
      </w:r>
      <w:r>
        <w:rPr>
          <w:rFonts w:ascii="Calibri" w:hAnsi="Calibri"/>
          <w:b w:val="0"/>
          <w:color w:val="3A4A28"/>
          <w:sz w:val="20"/>
        </w:rPr>
        <w:t>Silver price volatility and permitting risk in British Columbia could delay or prevent economic development of the Kitsault Valley district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Precious metals mining and exploration is fundamentally a physical-world business that AI cannot displace. Silver and gold extraction requires geological expertise, drilling programs, assay analysis, and heavy equipment — none of which face AI substitution risk [1]. If anything, rising AI infrastructure demand (data centers, electronics) increases silver consumption as an industrial metal. The Kitsault Valley district's value is in the physical ore body, which is irreplaceable by software. AI Opportunity (0/1): No AI revenue or AI-powered products. Dolly Varden's exploration operations use traditional geological methods with no reported AI integration for resource modeling or drilling optimization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Dolly Varden Silver 2025 CEO Letter — exploration plans, land acquisition, resource growth strategy</w:t>
      </w:r>
    </w:p>
    <w:p>
      <w:pPr>
        <w:spacing w:before="20" w:after="20"/>
        <w:ind w:left="170"/>
      </w:pPr>
      <w:r>
        <w:rPr>
          <w:rFonts w:ascii="Calibri" w:hAnsi="Calibri"/>
          <w:b/>
          <w:color w:val="4A6B25"/>
          <w:sz w:val="15"/>
        </w:rPr>
        <w:t xml:space="preserve">2. </w:t>
      </w:r>
      <w:r>
        <w:rPr>
          <w:rFonts w:ascii="Calibri" w:hAnsi="Calibri"/>
          <w:b w:val="0"/>
          <w:color w:val="3A4A28"/>
          <w:sz w:val="17"/>
        </w:rPr>
        <w:t>Dolly Varden Silver corporate website — management team, company overview, ESG governance</w:t>
      </w:r>
    </w:p>
    <w:p>
      <w:pPr>
        <w:spacing w:before="20" w:after="20"/>
        <w:ind w:left="170"/>
      </w:pPr>
      <w:r>
        <w:rPr>
          <w:rFonts w:ascii="Calibri" w:hAnsi="Calibri"/>
          <w:b/>
          <w:color w:val="4A6B25"/>
          <w:sz w:val="15"/>
        </w:rPr>
        <w:t xml:space="preserve">3. </w:t>
      </w:r>
      <w:r>
        <w:rPr>
          <w:rFonts w:ascii="Calibri" w:hAnsi="Calibri"/>
          <w:b w:val="0"/>
          <w:color w:val="3A4A28"/>
          <w:sz w:val="17"/>
        </w:rPr>
        <w:t>Dolly Varden Silver Code of Business Conduct, ESG and Ethics Policy, August 2024</w:t>
      </w:r>
    </w:p>
    <w:p>
      <w:pPr>
        <w:spacing w:before="20" w:after="20"/>
        <w:ind w:left="170"/>
      </w:pPr>
      <w:r>
        <w:rPr>
          <w:rFonts w:ascii="Calibri" w:hAnsi="Calibri"/>
          <w:b/>
          <w:color w:val="4A6B25"/>
          <w:sz w:val="15"/>
        </w:rPr>
        <w:t xml:space="preserve">4. </w:t>
      </w:r>
      <w:r>
        <w:rPr>
          <w:rFonts w:ascii="Calibri" w:hAnsi="Calibri"/>
          <w:b w:val="0"/>
          <w:color w:val="3A4A28"/>
          <w:sz w:val="17"/>
        </w:rPr>
        <w:t>Stock Analysis — DVS financial data, delisting notice, March 2026</w:t>
      </w:r>
    </w:p>
    <w:p>
      <w:pPr>
        <w:spacing w:before="20" w:after="20"/>
        <w:ind w:left="170"/>
      </w:pPr>
      <w:r>
        <w:rPr>
          <w:rFonts w:ascii="Calibri" w:hAnsi="Calibri"/>
          <w:b/>
          <w:color w:val="4A6B25"/>
          <w:sz w:val="15"/>
        </w:rPr>
        <w:t xml:space="preserve">5. </w:t>
      </w:r>
      <w:r>
        <w:rPr>
          <w:rFonts w:ascii="Calibri" w:hAnsi="Calibri"/>
          <w:b w:val="0"/>
          <w:color w:val="3A4A28"/>
          <w:sz w:val="17"/>
        </w:rPr>
        <w:t>Contango Silver &amp; Gold corporate website — merger details, Manh Choh production, combined entity strategy</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