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DXST</w:t>
      </w:r>
      <w:r>
        <w:rPr>
          <w:rFonts w:ascii="Calibri" w:hAnsi="Calibri"/>
          <w:b/>
          <w:color w:val="1A2010"/>
          <w:sz w:val="40"/>
        </w:rPr>
        <w:t xml:space="preserve">  Decent Holding Inc.</w:t>
      </w:r>
    </w:p>
    <w:p>
      <w:pPr>
        <w:spacing w:after="120"/>
      </w:pPr>
      <w:r>
        <w:rPr>
          <w:rFonts w:ascii="Calibri" w:hAnsi="Calibri"/>
          <w:b/>
          <w:color w:val="6E8450"/>
          <w:sz w:val="18"/>
        </w:rPr>
        <w:t>GROWTH SLEEVE · 2026-04-20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NASDAQ · China</w:t>
      </w:r>
    </w:p>
    <w:p>
      <w:pPr>
        <w:spacing w:after="80"/>
      </w:pPr>
      <w:r>
        <w:rPr>
          <w:rFonts w:ascii="Calibri" w:hAnsi="Calibri"/>
          <w:b w:val="0"/>
          <w:color w:val="3A4A28"/>
          <w:sz w:val="20"/>
        </w:rPr>
        <w:t>Decent Holding Inc. provides industrial wastewater treatment services in China through its subsidiary Shandong Dingxin Ecology Environmental Co. The company offers ecological river restoration, river ecosystem management services, and microbial products including COD-decreasing bacteria, algae removal, and ammonia nitrogen treatment solutions. Founded in 2011 and IPO'd on Nasdaq in January 2025, the company is based in Yantai, China.</w:t>
      </w:r>
    </w:p>
    <w:p>
      <w:r>
        <w:rPr>
          <w:rFonts w:ascii="Calibri" w:hAnsi="Calibri"/>
          <w:b/>
          <w:color w:val="6E8450"/>
          <w:sz w:val="18"/>
        </w:rPr>
        <w:t>16 Employees · https://www.dxshengtai.com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Decent Holding expanded from core wastewater treatment into river ecosystem management, with wastewater treatment revenue surging 68.7% to $4.2M in FY2025 [1]. However, product and river services declined, and the business remains narrowly focused on environmental services in a single Chinese province. AI Deployment (0/2): No evidence of AI deployment in operations or products. The company announced an AI-powered senior health and community care platform via subsidiary Suncare in March 2026, but no products are shipping and no measurable results exist [2]. Market Share (1/2): Decent operates in China's fragmented environmental services market with no evidence of category leadership or meaningful market share data. Revenue of $12.9M suggests a tiny niche player. Pipeline (1/2): The Suncare AI-powered senior health platform targeting China's aging population represents a new direction, but timelines and revenue visibility are vague [2]. R&amp;D Intensity (0/1): No R&amp;D spending data available; with only 16 employees, R&amp;D capacity is severely limited.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Decent Holding's website describes environmental services capabilities but lacks a distinctive mission or purpose statement beyond operational descriptions. The company exists to provide wastewater treatment, which is socially useful but not articulated as a cause. Community Impact (1/2): The company's core business of wastewater treatment and ecological river restoration has inherent environmental benefit, cleaning polluted waterways in China. However, no specific charitable programs or community investment beyond the core business were found. Employee Retention (0/2): With only 16 full-time employees, there is insufficient data to evaluate retention or tenure. Insider Buying (0/2): No meaningful insider buying data available for this recently IPO'd micro-cap.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Decent Holding's financial profile is extremely weak across nearly all metrics. D/E of 1.4% is excellent but is the only bright spot [3]. ROE is negative at -5.1%, reflecting the company's FY2025 net loss of $0.32M versus prior year income of $2.1M [1]. Revenue growth swung from +22% in FY2024 to -20% in recent quarters. Profit margin is negative at -2.5%. Forward P/E is unavailable. The company executed a 1-for-25 reverse stock split in March 2026 to maintain Nasdaq listing compliance, a red flag for capital structure [2]. Market cap of just $4.2M makes this an extreme micro-cap. Liquidity floor calculation: 1,962,895 avg volume x $2.33 = $4.57M daily — passes the $1M threshold but barely. PEG ratio unavailable. Growth metrics score near floor on the mechanical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Decent Holding exhibits hallmarks of a finite game player. The company's rapid pivot from environmental services to AI-powered senior health care, combined with a reverse stock split to maintain listing compliance, suggests reactive survival-mode decision-making rather than a consistent long-term cause. With only 16 employees and a $4.2M market cap, the company lacks the organizational depth for trusting teams or existential flexibility in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Decent Holding's environmental services mission — cleaning waterways and treating industrial wastewater — has genuine social value, but it is not articulated as an enduring cause that transcends individual products or market conditions. The rapid pivot to AI-powered senior health care in 2026 suggests the company chases market trends rather than pursuing a consistent purpose [2]. No evidence of a Just Cause that has endured through market cycles.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16 full-time employees, there is insufficient organizational depth to evaluate team trust, psychological safety, or cultural practices. The company's recent IPO (January 2025), reverse stock split, and strategic pivot all suggest organizational instability that undermines trust-building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or learning from competitors in the environmental services space. The company's competitive language, to the extent it exists in filings, focuses on capabilities rather than competitive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March 2026 launch of an AI-powered senior health platform via Suncare subsidiary represents a significant strategic diversification from the core wastewater business [2]. However, this pivot appears driven by opportunism (chasing China's silver economy trend) rather than by an enduring cause, and the company's tiny scale makes it unclear whether this is genuine strategic flexibility or survival-mode scrambling.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The company's leadership under CEO Haicheng Xu has not demonstrated willingness to sacrifice short-term results for long-term capability. The reverse stock split and need to maintain Nasdaq compliance suggest a company managing near-term survival rather than building for the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Decent Holding is an extreme micro-cap Chinese environmental services company with a $4.2M market cap, 16 employees, and a recent Nasdaq IPO that is struggling to maintain listing compliance. While the core wastewater treatment business grew revenue 12% in FY2025, the company swung to a net loss and executed a 1-for-25 reverse stock split in March 2026 [1][2].</w:t>
      </w:r>
    </w:p>
    <w:p>
      <w:pPr>
        <w:spacing w:after="120"/>
      </w:pPr>
      <w:r>
        <w:rPr>
          <w:rFonts w:ascii="Calibri" w:hAnsi="Calibri"/>
          <w:b w:val="0"/>
          <w:color w:val="3A4A28"/>
          <w:sz w:val="20"/>
        </w:rPr>
        <w:t>The pivot to AI-powered senior health care via Suncare adds speculative optionality but lacks revenue or product validation. The company's tiny scale, negative profitability, China-based operations with limited transparency, and absence of institutional coverage make this unsuitable for the IOWN framework. DXST scores poorly across all three dimensions — limited innovation track record, negative financial infrastructure, and finite game characteristics.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Suncare AI-powered senior health platform could capture demand in China's rapidly growing silver economy if successfully commercialized</w:t>
      </w:r>
    </w:p>
    <w:p>
      <w:pPr>
        <w:spacing w:before="40" w:after="40"/>
        <w:ind w:left="283"/>
      </w:pPr>
      <w:r>
        <w:rPr>
          <w:rFonts w:ascii="Calibri" w:hAnsi="Calibri"/>
          <w:b/>
          <w:color w:val="4A6B25"/>
          <w:sz w:val="20"/>
        </w:rPr>
        <w:t xml:space="preserve">2. </w:t>
      </w:r>
      <w:r>
        <w:rPr>
          <w:rFonts w:ascii="Calibri" w:hAnsi="Calibri"/>
          <w:b w:val="0"/>
          <w:color w:val="3A4A28"/>
          <w:sz w:val="20"/>
        </w:rPr>
        <w:t>Wastewater treatment revenue surging 68.7% in FY2025 suggests strong demand for core environmental remediation services in China</w:t>
      </w:r>
    </w:p>
    <w:p>
      <w:pPr>
        <w:spacing w:before="40" w:after="40"/>
        <w:ind w:left="283"/>
      </w:pPr>
      <w:r>
        <w:rPr>
          <w:rFonts w:ascii="Calibri" w:hAnsi="Calibri"/>
          <w:b/>
          <w:color w:val="4A6B25"/>
          <w:sz w:val="20"/>
        </w:rPr>
        <w:t xml:space="preserve">3. </w:t>
      </w:r>
      <w:r>
        <w:rPr>
          <w:rFonts w:ascii="Calibri" w:hAnsi="Calibri"/>
          <w:b w:val="0"/>
          <w:color w:val="3A4A28"/>
          <w:sz w:val="20"/>
        </w:rPr>
        <w:t>Recent IPO proceeds of $7.48M provide working capital for expansion and R&amp;D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1-for-25 reverse stock split and $4.2M market cap signal severe Nasdaq delisting risk and capital structure stress</w:t>
      </w:r>
    </w:p>
    <w:p>
      <w:pPr>
        <w:spacing w:before="40" w:after="40"/>
        <w:ind w:left="283"/>
      </w:pPr>
      <w:r>
        <w:rPr>
          <w:rFonts w:ascii="Calibri" w:hAnsi="Calibri"/>
          <w:b/>
          <w:color w:val="4A6B25"/>
          <w:sz w:val="20"/>
        </w:rPr>
        <w:t xml:space="preserve">2. </w:t>
      </w:r>
      <w:r>
        <w:rPr>
          <w:rFonts w:ascii="Calibri" w:hAnsi="Calibri"/>
          <w:b w:val="0"/>
          <w:color w:val="3A4A28"/>
          <w:sz w:val="20"/>
        </w:rPr>
        <w:t>Company swung from $2.1M net income to $0.32M net loss in FY2025 despite 12% revenue growth, indicating cost control issues</w:t>
      </w:r>
    </w:p>
    <w:p>
      <w:pPr>
        <w:spacing w:before="40" w:after="40"/>
        <w:ind w:left="283"/>
      </w:pPr>
      <w:r>
        <w:rPr>
          <w:rFonts w:ascii="Calibri" w:hAnsi="Calibri"/>
          <w:b/>
          <w:color w:val="4A6B25"/>
          <w:sz w:val="20"/>
        </w:rPr>
        <w:t xml:space="preserve">3. </w:t>
      </w:r>
      <w:r>
        <w:rPr>
          <w:rFonts w:ascii="Calibri" w:hAnsi="Calibri"/>
          <w:b w:val="0"/>
          <w:color w:val="3A4A28"/>
          <w:sz w:val="20"/>
        </w:rPr>
        <w:t>Only 16 employees with all operations in China creates concentration risk, regulatory uncertainty, and limited transparency for U.S.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Decent Holding's core business of industrial wastewater treatment and ecological river restoration involves physical-world operations — cleaning rivers, deploying microbial products, and managing water treatment infrastructure — that AI cannot easily replicate or displace [3]. Environmental remediation requires boots-on-the-ground execution, regulatory compliance, and site-specific biological solutions. However, the company's small scale (16 employees, $12.9M revenue) and dependence on Chinese municipal contracts create business risks unrelated to AI. The Suncare AI health platform pivot suggests management sees AI as a growth opportunity rather than a threat. AI Opportunity (1/1): The March 2026 launch of an AI-powered senior health and community care platform via Suncare demonstrates early AI revenue ambitions, though no revenue has materialized yet [2]. Awarding the tiebreaker point for active AI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Decent Holding FY2025 Financial Results — revenue up 12% to $12.9M, net loss of $0.32M, StockTitan, March 2026</w:t>
      </w:r>
    </w:p>
    <w:p>
      <w:pPr>
        <w:spacing w:before="20" w:after="20"/>
        <w:ind w:left="170"/>
      </w:pPr>
      <w:r>
        <w:rPr>
          <w:rFonts w:ascii="Calibri" w:hAnsi="Calibri"/>
          <w:b/>
          <w:color w:val="4A6B25"/>
          <w:sz w:val="15"/>
        </w:rPr>
        <w:t xml:space="preserve">2. </w:t>
      </w:r>
      <w:r>
        <w:rPr>
          <w:rFonts w:ascii="Calibri" w:hAnsi="Calibri"/>
          <w:b w:val="0"/>
          <w:color w:val="3A4A28"/>
          <w:sz w:val="17"/>
        </w:rPr>
        <w:t>Decent Holding 1-for-25 Reverse Stock Split and Suncare AI Platform Launch — StockTitan,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DXST key statistics and company profile,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