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DXYZ</w:t>
      </w:r>
      <w:r>
        <w:rPr>
          <w:rFonts w:ascii="Calibri" w:hAnsi="Calibri"/>
          <w:b/>
          <w:color w:val="1A2010"/>
          <w:sz w:val="40"/>
        </w:rPr>
        <w:t xml:space="preserve">  Destiny Tech100 Inc.</w:t>
      </w:r>
    </w:p>
    <w:p>
      <w:pPr>
        <w:spacing w:after="120"/>
      </w:pPr>
      <w:r>
        <w:rPr>
          <w:rFonts w:ascii="Calibri" w:hAnsi="Calibri"/>
          <w:b/>
          <w:color w:val="6E8450"/>
          <w:sz w:val="18"/>
        </w:rPr>
        <w:t>GROWTH SLEEVE · 2026-05-03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Destiny Tech100 is a non-diversified closed-end management investment company that provides public market investors access to private venture-backed technology companies. The fund targets a portfolio of up to 100 companies, currently holding 32 positions with significant exposure to SpaceX (16.2%), Shield AI (4.1%), Databricks (4.0%), xAI (3.5%), and Anthropic. Founded in November 2020, the fund began trading on the NYSE on March 26, 2024.</w:t>
      </w:r>
    </w:p>
    <w:p>
      <w:r>
        <w:rPr>
          <w:rFonts w:ascii="Calibri" w:hAnsi="Calibri"/>
          <w:b/>
          <w:color w:val="6E8450"/>
          <w:sz w:val="18"/>
        </w:rPr>
        <w:t>https://destiny.xyz</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Destiny Tech100 provides a novel public market vehicle for private tech company exposure, but the fund's performance has been inconsistent — for the 12 months ended December 2023, portfolio investments returned -7.3% versus 43.4% for the Nasdaq Composite [2]. NAV per share gained 210% from FY2024 to FY2025 driven by SpaceX and AI holding markups, but this reflects private market valuation changes rather than operational innovation [1]. AI Deployment (0/2): DXYZ is a passive investment vehicle with no AI-driven operations. The fund invests in AI companies (xAI, Anthropic, Databricks) but does not deploy AI technology itself [1]. Market Share (1/2): DXYZ occupies a niche position as one of the few publicly traded vehicles offering retail investors exposure to pre-IPO tech unicorns like SpaceX and OpenAI, though competing vehicles like VCX have emerged [1]. Pipeline (1/2): The fund deployed $127M in new investments in Anthropic, CHAOS Industries, and Hermeus Corporation, and portfolio companies like Databricks are expected to pursue IPOs in 2026, providing visible catalysts [1]. R&amp;D Intensity (0/1): Not applicable — DXYZ is an investment fund with no R&amp;D operations.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Destiny Tech100's stated purpose is 'pioneering access to tech innovation' by giving public market investors exposure to private technology companies. While democratizing access to venture-stage investments is a valid concept, it is a financial product proposition rather than a deeper purpose, and the massive premiums to NAV undermine the mission of accessible investing [2]. Community Impact (0/2): No evidence of charitable programs, community investment, or social impact beyond the fund's investment activities. The fund has no employees to speak of and operates as a financial vehicle [3]. Employee Retention (0/2): Not applicable — the fund has no disclosed employees and is externally managed [3]. Insider Buying (1/2): CEO Sohail Prasad and the founding team maintain equity positions in the fund, demonstrating alignment with shareholders, though the persistent NAV premium raises questions about who benefits from the fund's structure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DXYZ is a closed-end fund where traditional infrastructure metrics are largely inapplicable. All core financial metrics (D/E, ROE, revenue growth, forward P/E) return null from yfinance because the fund generates no operating revenue — its 'earnings' reflect mark-to-market changes in private company valuations [4]. Profit margin is 0% (score 0/1.0). The most critical infrastructure issue is the persistent 73%+ premium to NAV: the fund's NAV was $19.97 per share as of December 31, 2025, while shares traded at $34.71 — meaning investors pay $1.74 for every $1.00 of underlying assets [1][3]. The fund identified a potential non-compliance issue with the 25% diversification test (SpaceX exposure at 25.9% of total assets), raising regulatory risk [3]. Liquidity floor cleared: 1.61M avg vol x $34.71 = $55.9M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Destiny Tech100 exhibits finite game characteristics — the fund exists to capitalize on retail investor demand for private tech exposure, trading at massive premiums to NAV that benefit the fund structure over shareholders. The 73%+ NAV premium, potential diversification compliance issues, and lack of a deeper purpose beyond financial access suggest a vehicle optimized for the current moment rather than built to endure. The fund was founded in 2020 and began trading only in March 2024, providing minimal track record to evaluate long-term commitment.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'Democratizing access to private tech companies' is a valid financial innovation concept, but it reads more as a marketing proposition than a Just Cause. The persistent 73%+ premium to NAV fundamentally contradicts the mission of accessible investing — retail investors are paying $1.74 for every $1.00 of assets, which is the opposite of value creation [1][2]. The fund was founded in 2020 and has only 2 years of trading history, far too short to validate any enduring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disclosed employee count, no evidence of organizational culture, and externally managed fund structure make this dimension impossible to evaluate positively [3]. The fund's SEC filing disclosed a potential non-compliance issue with the 25% diversification test, suggesting governance gaps that undermine trust [3]. Morningstar described the fund as 'not Destiny's child,' reflecting institutional skepticism about the fund's governance and structure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DXYZ's competitive positioning focuses on being a proxy trade for SpaceX and other private tech companies, with the fund benefiting from retail investor demand rather than demonstrating competitive learning. The emergence of VCX as a competing SpaceX proxy trade has been framed in market share terms rather than as motivation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fund is too young (founded 2020, trading since March 2024) to have faced any existential test. The fixed closed-end fund structure limits strategic flexibility — the fund cannot easily change its mandate, structure, or approach in response to market changes [3]. The recent $127M deployment into Anthropic, CHAOS Industries, and Hermeus shows portfolio evolution but not structural transformation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The fund's structure allows it to trade at persistent NAV premiums without pressure to return capital to shareholders (unlike an ETF or open-end fund) — this is a structural advantage for management rather than a courageous choice [2][3]. The decision not to address the NAV premium through tender offers or share buybacks prioritizes management fees over shareholder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Destiny Tech100 provides unique public market exposure to pre-IPO tech unicorns including SpaceX (16.2%), Shield AI (4.1%), Databricks (4.0%), xAI (3.5%), and Anthropic [1]. The fund's NAV per share surged 210% from FY2024 to FY2025 driven by AI and space sector valuations, and recent $127M deployment into Anthropic and other holdings expands the portfolio toward AI leadership [1]. Potential Databricks and SpaceX IPOs in 2026 could unlock significant value as private holdings convert to liquid public equities. For investors seeking pre-IPO tech exposure without accredited investor requirements, DXYZ offers a rare publicly traded vehicle [1].</w:t>
      </w:r>
    </w:p>
    <w:p>
      <w:pPr>
        <w:spacing w:after="120"/>
      </w:pPr>
      <w:r>
        <w:rPr>
          <w:rFonts w:ascii="Calibri" w:hAnsi="Calibri"/>
          <w:b w:val="0"/>
          <w:color w:val="3A4A28"/>
          <w:sz w:val="20"/>
        </w:rPr>
        <w:t>The bear case is compelling. DXYZ trades at a 73%+ premium to its December 2025 NAV of $19.97 per share, meaning investors pay $1.74 for every $1.00 of underlying assets — a structural wealth transfer from shareholders to the fund [1][3]. The fund returned -7.3% in 2023 versus 43.4% for the Nasdaq Composite, demonstrating poor relative performance during a tech boom [2]. The closed-end structure means there is no NAV convergence mechanism (unlike ETFs), so the premium can persist indefinitely or collapse unpredictably. SpaceX concentration at 16.2% (previously 25.9% before remediation) creates single-name risk that exceeds typical diversification standards [3]. The fund has no employees, no operating revenue, and generates earnings only from mark-to-market changes in illiquid private company valuations that are inherently difficult to verify. Competing vehicles like VCX have emerged, potentially compressing DXYZ's premium as investor alternatives increase [1]. Morningstar and Seeking Alpha analysts have both rated the fund as a sell despite its AI/SpaceX holdings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Databricks IPO expected in 2026 could unlock liquidity and establish public market valuations for DXYZ's fourth-largest holding (4.0% of portfolio) [1]</w:t>
      </w:r>
    </w:p>
    <w:p>
      <w:pPr>
        <w:spacing w:before="40" w:after="40"/>
        <w:ind w:left="283"/>
      </w:pPr>
      <w:r>
        <w:rPr>
          <w:rFonts w:ascii="Calibri" w:hAnsi="Calibri"/>
          <w:b/>
          <w:color w:val="4A6B25"/>
          <w:sz w:val="20"/>
        </w:rPr>
        <w:t xml:space="preserve">2. </w:t>
      </w:r>
      <w:r>
        <w:rPr>
          <w:rFonts w:ascii="Calibri" w:hAnsi="Calibri"/>
          <w:b w:val="0"/>
          <w:color w:val="3A4A28"/>
          <w:sz w:val="20"/>
        </w:rPr>
        <w:t>SpaceX IPO filing approach — DXYZ jumped 18% on SpaceX IPO filing news; a public listing of the 16.2% portfolio position would be transformative for NAV [1]</w:t>
      </w:r>
    </w:p>
    <w:p>
      <w:pPr>
        <w:spacing w:before="40" w:after="40"/>
        <w:ind w:left="283"/>
      </w:pPr>
      <w:r>
        <w:rPr>
          <w:rFonts w:ascii="Calibri" w:hAnsi="Calibri"/>
          <w:b/>
          <w:color w:val="4A6B25"/>
          <w:sz w:val="20"/>
        </w:rPr>
        <w:t xml:space="preserve">3. </w:t>
      </w:r>
      <w:r>
        <w:rPr>
          <w:rFonts w:ascii="Calibri" w:hAnsi="Calibri"/>
          <w:b w:val="0"/>
          <w:color w:val="3A4A28"/>
          <w:sz w:val="20"/>
        </w:rPr>
        <w:t>Anthropic and xAI valuation growth as the AI arms race continues to drive private market valuations higher, benefiting DXYZ's $127M Anthropic position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73%+ premium to NAV — investors pay $34.71 for $19.97 of underlying assets; any premium compression would destroy shareholder value regardless of portfolio performance [1][3]</w:t>
      </w:r>
    </w:p>
    <w:p>
      <w:pPr>
        <w:spacing w:before="40" w:after="40"/>
        <w:ind w:left="283"/>
      </w:pPr>
      <w:r>
        <w:rPr>
          <w:rFonts w:ascii="Calibri" w:hAnsi="Calibri"/>
          <w:b/>
          <w:color w:val="4A6B25"/>
          <w:sz w:val="20"/>
        </w:rPr>
        <w:t xml:space="preserve">2. </w:t>
      </w:r>
      <w:r>
        <w:rPr>
          <w:rFonts w:ascii="Calibri" w:hAnsi="Calibri"/>
          <w:b w:val="0"/>
          <w:color w:val="3A4A28"/>
          <w:sz w:val="20"/>
        </w:rPr>
        <w:t>Illiquid private holdings with opaque valuations — the fund's NAV depends on subjective markups of private company stakes that may not reflect realizable values [2][3]</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 SpaceX at 16.2% and previous diversification test non-compliance (25.9%) create regulatory and single-name exposure risks for a fund with only 32 holdings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As a closed-end fund, DXYZ's business model — holding private company shares and charging management fees — is structurally exposed to AI disruption in the asset management industry. AI-powered investment platforms could democratize access to private markets more efficiently and at lower cost than a closed-end fund structure that trades at persistent NAV premiums [2]. The fund itself adds minimal value beyond access; its portfolio selection and valuation capabilities could be replicated by AI-driven alternatives. However, regulatory barriers to accessing private company shares provide some structural protection. AI Opportunity (1/1): DXYZ holds meaningful positions in AI-related companies including xAI (3.5%), Anthropic (recent $127M deployment), Databricks (4.0%), and other AI-adjacent holdings [1]. These positions provide indirect exposure to AI revenue generation, and the fund benefits from AI sector enthusiasm driving private company valuations higher.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StockTwits / Blockonomi / MSN — Destiny Tech100 holdings breakdown, SpaceX proxy trade analysis, $127M Anthropic deployment, 2026</w:t>
      </w:r>
    </w:p>
    <w:p>
      <w:pPr>
        <w:spacing w:before="20" w:after="20"/>
        <w:ind w:left="170"/>
      </w:pPr>
      <w:r>
        <w:rPr>
          <w:rFonts w:ascii="Calibri" w:hAnsi="Calibri"/>
          <w:b/>
          <w:color w:val="4A6B25"/>
          <w:sz w:val="15"/>
        </w:rPr>
        <w:t xml:space="preserve">2. </w:t>
      </w:r>
      <w:r>
        <w:rPr>
          <w:rFonts w:ascii="Calibri" w:hAnsi="Calibri"/>
          <w:b w:val="0"/>
          <w:color w:val="3A4A28"/>
          <w:sz w:val="17"/>
        </w:rPr>
        <w:t>Morningstar / Seeking Alpha — 'DXYZ: This Closed-End Fund Is Not Destiny's Child' analysis, fund performance -7.3% vs Nasdaq 43.4% in 2023</w:t>
      </w:r>
    </w:p>
    <w:p>
      <w:pPr>
        <w:spacing w:before="20" w:after="20"/>
        <w:ind w:left="170"/>
      </w:pPr>
      <w:r>
        <w:rPr>
          <w:rFonts w:ascii="Calibri" w:hAnsi="Calibri"/>
          <w:b/>
          <w:color w:val="4A6B25"/>
          <w:sz w:val="15"/>
        </w:rPr>
        <w:t xml:space="preserve">3. </w:t>
      </w:r>
      <w:r>
        <w:rPr>
          <w:rFonts w:ascii="Calibri" w:hAnsi="Calibri"/>
          <w:b w:val="0"/>
          <w:color w:val="3A4A28"/>
          <w:sz w:val="17"/>
        </w:rPr>
        <w:t>SEC Filings — Destiny Tech100 N-CSR (fiscal year 2023, semi-annual 2025), NAV $19.97 per share, diversification test non-compliance,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DXYZ (Destiny Tech100),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