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w:t>
      </w:r>
      <w:r>
        <w:rPr>
          <w:rFonts w:ascii="Calibri" w:hAnsi="Calibri"/>
          <w:b/>
          <w:color w:val="1A2010"/>
          <w:sz w:val="40"/>
        </w:rPr>
        <w:t xml:space="preserve">  Dynex Capital, Inc.</w:t>
      </w:r>
    </w:p>
    <w:p>
      <w:pPr>
        <w:spacing w:after="120"/>
      </w:pPr>
      <w:r>
        <w:rPr>
          <w:rFonts w:ascii="Calibri" w:hAnsi="Calibri"/>
          <w:b/>
          <w:color w:val="6E8450"/>
          <w:sz w:val="18"/>
        </w:rPr>
        <w:t>DIVIDEND SLEEVE · 2026-03-28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Dynex Capital is an internally managed mortgage REIT that invests in residential and commercial mortgage-backed securities (MBS), primarily agency MBS guaranteed by Fannie Mae and Freddie Mac. The company finances its investments principally with repurchase agreements, targeting attractive risk-adjusted returns through a leveraged, high-quality fixed income portfolio with a focus on capital preservation.</w:t>
      </w:r>
    </w:p>
    <w:p>
      <w:r>
        <w:rPr>
          <w:rFonts w:ascii="Calibri" w:hAnsi="Calibri"/>
          <w:b/>
          <w:color w:val="6E8450"/>
          <w:sz w:val="18"/>
        </w:rPr>
        <w:t>28 Employees · https://www.dynexcapital.com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Dynex delivered a 29.4% total shareholder return in 2025 and generated total economic return of $2.75 per share (21.6% of beginning book value), but this reflects favorable rate positioning rather than product innovation [1]. The co-CEO structure with Byron Boston and Smriti Popenoe since July 2024 represents an incremental leadership evolution [2]. AI Deployment (0/2): Dynex has no AI products or measurable AI-driven cost savings; as a 28-employee mortgage REIT, technology innovation is not part of the business model [2]. Market Share (1/2): Dynex is a meaningful participant in the agency MBS space with $2.5B+ in total assets and growing share count (75.5% increase in shares outstanding in 2025), though it competes against much larger mREITs like AGNC and NLY [1]. Pipeline (0/2): No product pipeline exists; the company's strategy is portfolio positioning within the MBS market, not product development. R&amp;D Intensity (1/1): Board member Alec, founder of Artificial Intelligence Risk, Inc., brings risk management expertise that distinguishes Dynex's analytical approach to portfolio management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Dynex describes its culture as one that 'prioritizes equity, support, and continuous growth' and states 'collaboration is key to driving innovation,' but this is generic corporate language interchangeable with any financial services firm [2]. The mission does not articulate a distinctive purpose beyond investment returns. Community Impact (1/2): Dynex states it supports the growth and revitalization of communities through financing real estate assets, and its corporate responsibility page references ESG integration into investment decisions, but no specific charitable programs or dollar amounts are disclosed [3]. Employee Retention (1/2): With only 28 employees, the company is too small for meaningful retention data, though the co-CEO structure with Byron Boston (CEO since 2014) and Smriti Popenoe (CIO since 2014, now co-CEO) demonstrates long leadership tenure [2]. Insider Buying (1/2): Byron Boston directly oversees strategy while maintaining significant equity exposure through his compensation, though his $7.2M total compensation (87.5% stock-based) is above the peer average of $5.38M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Dynex's financial profile reflects the leveraged mREIT model: D/E of 564.9% is extremely high but standard for the sector, driven by repurchase agreement financing [1]. ROE of 17.5% exceeds the 15% target, and profit margin of 85.7% is exceptional as expected for a pass-through investment vehicle [1]. Forward P/E of 8.79 is attractive, well below the 20x target. Revenue growth of 234.8% YoY reflects normalized interest income after the 2023 trough ($26.7M) rebounding to $372M in 2025 [1]. Dividend payout ratio of 81% is elevated but the company reaffirmed the $0.17/month dividend in February 2026 [2]. Consecutive years paid is 20+ years, but no consecutive growth — dividends declined from $2.16 (2017) to $1.45 (2024) before rising to $1.98 (2025). 5yr dividend growth CAGR of ~3.6% trails the 6% target. Liquidity floor cleared: $82.5M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Dynex Capital operates with a focus on capital preservation and long-term shareholder returns, having delivered 67% total returns over the past decade under Byron Boston's leadership since 2014. However, the mREIT model is inherently quarterly-focused, with dividend sustainability concerns as the company pays out more than distributable earnings and dilutes shares aggressively (75.5% increase in 2025).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Dynex's purpose is to deliver attractive risk-adjusted returns through capital preservation and high-quality fixed income investing [1]. While this is clearly articulated and has guided strategy consistently, it is fundamentally a financial return objective rather than a vision of a better future state. The company does reference community revitalization through financing real estate, but this is secondary to the investment mandate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28 employees and a leadership team with long tenure (Boston since 2014, Popenoe since 2014), the organization is small enough to foster direct relationships [2]. However, Glassdoor ratings are poor (3.6 overall on only 2 reviews, with Culture &amp; Values at 1.0), though the sample size is too small to be statistically meaningful [2]. The co-CEO structure suggests collaborative leadership at the top.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Dynex competes against much larger mREITs like AGNC Investment ($8B+ market cap) and Annaly Capital ($10B+), but there is no evidence in public commentary of management acknowledging competitors' strengths or using rivalry as motivation for self-improvement [1]. The competitive language focuses on Dynex's own positioning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Dynex has evolved its portfolio positioning over time, shifting between residential and commercial MBS and adjusting leverage ratios in response to interest rate environments [1]. The co-CEO transition in 2024 and the new CFO appointment represent incremental organizational evolution, though the core mREIT business model has remained fundamentally unchanged since inception in 1987.</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Dynex maintained its dividend through the 2023 interest rate stress period despite revenue collapsing to $26.7M, showing commitment to income investors even when distributable earnings were pressured [1]. The aggressive equity issuance (75.5% share increase) to grow the portfolio demonstrates conviction in the long-term opportunity, though this dilution tests shareholder patience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Dynex Capital delivered an outstanding 2025 with 29.4% total shareholder return and $2.75 per share economic return (21.6% of book value), demonstrating effective rate positioning in the agency MBS market [1]. The 16.8% dividend yield at current prices is compelling for income investors, with the $0.17/month dividend reaffirmed in February 2026 [2]. Book value of $13.45 per share provides a 10% discount to current price of $12.17, suggesting margin of safety. Forward P/E of 8.8x and ROE of 17.5% indicate solid earnings power relative to valuation. Keefe Bruyette raised its price target to $15.25 from $14.50, reflecting optimism in the rate environment [1].</w:t>
      </w:r>
    </w:p>
    <w:p>
      <w:pPr>
        <w:spacing w:after="120"/>
      </w:pPr>
      <w:r>
        <w:rPr>
          <w:rFonts w:ascii="Calibri" w:hAnsi="Calibri"/>
          <w:b w:val="0"/>
          <w:color w:val="3A4A28"/>
          <w:sz w:val="20"/>
        </w:rPr>
        <w:t>The bear case centers on sustainability concerns. Dynex's payout ratio of 81% exceeds distributable earnings, meaning the dividend is partially funded by equity issuance — the 75.5% increase in shares outstanding in 2025 represents massive dilution that erodes per-share value [1]. Revenue is forecast to decline 16.5% per year as the 2025 interest income normalization fades, and analysts project ROE declining to 11-13% over three years [1]. The leveraged mREIT model (564.9% D/E) creates existential risk in rising rate environments, and the company's small size (28 employees, $2.5B market cap) limits operational flexibility. Book value erosion from rate movements could quickly reverse the current discount to 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cuts by the Federal Reserve would expand net interest margins and drive book value appreciation for agency MBS portfolios [1]</w:t>
      </w:r>
    </w:p>
    <w:p>
      <w:pPr>
        <w:spacing w:before="40" w:after="40"/>
        <w:ind w:left="283"/>
      </w:pPr>
      <w:r>
        <w:rPr>
          <w:rFonts w:ascii="Calibri" w:hAnsi="Calibri"/>
          <w:b/>
          <w:color w:val="4A6B25"/>
          <w:sz w:val="20"/>
        </w:rPr>
        <w:t xml:space="preserve">2. </w:t>
      </w:r>
      <w:r>
        <w:rPr>
          <w:rFonts w:ascii="Calibri" w:hAnsi="Calibri"/>
          <w:b w:val="0"/>
          <w:color w:val="3A4A28"/>
          <w:sz w:val="20"/>
        </w:rPr>
        <w:t>Continued reaffirmation of $0.17/month dividend ($2.04 annualized) supporting the 16.8% yield as income investors seek yield alternatives [2]</w:t>
      </w:r>
    </w:p>
    <w:p>
      <w:pPr>
        <w:spacing w:before="40" w:after="40"/>
        <w:ind w:left="283"/>
      </w:pPr>
      <w:r>
        <w:rPr>
          <w:rFonts w:ascii="Calibri" w:hAnsi="Calibri"/>
          <w:b/>
          <w:color w:val="4A6B25"/>
          <w:sz w:val="20"/>
        </w:rPr>
        <w:t xml:space="preserve">3. </w:t>
      </w:r>
      <w:r>
        <w:rPr>
          <w:rFonts w:ascii="Calibri" w:hAnsi="Calibri"/>
          <w:b w:val="0"/>
          <w:color w:val="3A4A28"/>
          <w:sz w:val="20"/>
        </w:rPr>
        <w:t>Portfolio growth from equity issuance enabling larger MBS positions with improved scale economics and potentially better financing terms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81% payout ratio funded partially by share dilution (75.5% increase in 2025) creates a structural mismatch between distributions and distributable earnings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564.9% D/E leverage on agency MBS creates outsized book value volatility; a 100bp rate spike could erase 15-20% of book value [1]</w:t>
      </w:r>
    </w:p>
    <w:p>
      <w:pPr>
        <w:spacing w:before="40" w:after="40"/>
        <w:ind w:left="283"/>
      </w:pPr>
      <w:r>
        <w:rPr>
          <w:rFonts w:ascii="Calibri" w:hAnsi="Calibri"/>
          <w:b/>
          <w:color w:val="4A6B25"/>
          <w:sz w:val="20"/>
        </w:rPr>
        <w:t xml:space="preserve">3. </w:t>
      </w:r>
      <w:r>
        <w:rPr>
          <w:rFonts w:ascii="Calibri" w:hAnsi="Calibri"/>
          <w:b w:val="0"/>
          <w:color w:val="3A4A28"/>
          <w:sz w:val="20"/>
        </w:rPr>
        <w:t>Share dilution erosion — aggressive equity issuance to fund portfolio growth dilutes existing shareholders' economic interest, potentially offsetting returns from portfolio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Dynex Capital's business — investing in agency mortgage-backed securities using leveraged financing — is structurally immune to AI disruption [1]. MBS investing requires human judgment on interest rate positioning, prepayment risk, and leverage management, but the underlying assets (government-guaranteed mortgages) cannot be replicated or displaced by AI. The 28-person team makes investment decisions that AI tools may enhance but cannot replace given the regulatory, macroeconomic, and counterparty complexity involved [2]. Board member expertise in AI risk management through Artificial Intelligence Risk, Inc. provides governance-level awareness of AI implications for financial services [2]. AI Opportunity (0/1): Dynex generates no revenue from AI products or services; it is a pure-play MBS investment vehicle with no technology product 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Dynex Capital Q4/FY2025 Earnings Release — 29.4% total shareholder return, $2.75/share economic return, $13.45 book value, February 2026</w:t>
      </w:r>
    </w:p>
    <w:p>
      <w:pPr>
        <w:spacing w:before="20" w:after="20"/>
        <w:ind w:left="170"/>
      </w:pPr>
      <w:r>
        <w:rPr>
          <w:rFonts w:ascii="Calibri" w:hAnsi="Calibri"/>
          <w:b/>
          <w:color w:val="4A6B25"/>
          <w:sz w:val="15"/>
        </w:rPr>
        <w:t xml:space="preserve">2. </w:t>
      </w:r>
      <w:r>
        <w:rPr>
          <w:rFonts w:ascii="Calibri" w:hAnsi="Calibri"/>
          <w:b w:val="0"/>
          <w:color w:val="3A4A28"/>
          <w:sz w:val="17"/>
        </w:rPr>
        <w:t>Dynex Capital corporate website — leadership team, co-CEO structure, Glassdoor reviews, AI Risk board expertise,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Dynex Capital Average ESG management, no major controversies,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DX (Dynex Capital),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