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DYN</w:t>
      </w:r>
      <w:r>
        <w:rPr>
          <w:rFonts w:ascii="Calibri" w:hAnsi="Calibri"/>
          <w:b/>
          <w:color w:val="1A2010"/>
          <w:sz w:val="40"/>
        </w:rPr>
        <w:t xml:space="preserve">  Dyne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40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Dyne Therapeutics is a clinical-stage biotech developing FORCE platform therapeutics for genetically driven neuromuscular diseases. Its lead assets are z-rostudirsen (DYN-251) for Duchenne Muscular Dystrophy (DMD) and DYNE-101 for myotonic dystrophy type 1 (DM1), both in registrational expansion cohorts targeting accelerated approval.</w:t>
      </w:r>
    </w:p>
    <w:p>
      <w:r>
        <w:rPr>
          <w:rFonts w:ascii="Calibri" w:hAnsi="Calibri"/>
          <w:b/>
          <w:color w:val="6E8450"/>
          <w:sz w:val="18"/>
        </w:rPr>
        <w:t>350 Employees · https://www.dyne-tx.com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Dyne is pre-revenue but has advanced two lead programs into registrational expansion cohorts (DELIVER for DMD, ACHIEVE for DM1) — a meaningful clinical milestone for a company founded in 2018 [1]. AI Deployment (1/2): Dyne's FORCE platform is a proprietary oligonucleotide-conjugate technology that leverages computational biology; no explicit AI platform disclosure but modern oligo discovery employs ML-assisted design. Market Share (2/2): Dyne could be first-to-market with a muscle-targeted exon-skipper for DMD and is positioned against Sarepta's legacy EXONDYS/VYONDYS franchise — the StatNews December 2025 coverage of Dyne's filing plans for a 'next-generation Duchenne drug' highlights the differentiation opportunity [1]. Pipeline (2/2): Two registrational programs (DMD and DM1) advancing simultaneously toward potential U.S. Accelerated Approval in Q2 2026 and launches in 2027; FORCE platform extensibility to other neuromuscular indications is a real pipeline engine [1]. R&amp;D Intensity (0/1): R&amp;D burn is high but appropriate for clinical-stage biotech; no differentiated intensity metric.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Developing disease-modifying therapies for devastating genetic neuromuscular diseases (DMD, DM1, FSHD) is an authentic and durable mission directly tied to patient outcomes [1]. Community Impact (1/2): Dyne participates in neuromuscular-community fundraising walks and hosted a 2024 event raising $145K+, but social impact is modest for a 350-person biotech [3]. Employee Retention (0/2): Glassdoor reviews are polarized — some 4/5 overall rating from 16 reviews with 75% recommending, but multiple reviews cite 'terrible leadership in research,' 'favoritism and misogyny,' 'no HR support,' and employees 'treated like slaves' [2]. Sustainalytics rates Dyne's ESG Material Risk Management as 'Weak' [3]. Insider Buying (1/2): Recent insider purchases and analyst coverage (Bernstein, Jones Trading) highlight management conviction ahead of DYN-251 data.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 a pre-revenue clinical-stage biotech, Dyne's infrastructure metrics reflect a cash-burn profile. No revenue, no P/E, forward P/E of -6.53x, and ROE of -55.7% [4]. Profit margin of 0% and no revenue growth data; the business is funded by equity and debt (D/E 17.4%) through clinical milestones [4]. Market cap of $3.27B at $19.81/share reflects optionality on DMD and DM1 approvals, not fundamentals. Liquidity floor cleared: 2.13M avg vol x $19.81 = $42.2M daily turnover [4]. 50-day SMA $17.31 vs current $19.81 shows positive momentum on clinical readout anticipation. Score reflects pre-revenue clinical-stage biotech reality — WEAK by financial metrics but appropriate for stage.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Dyne is driven by a clear mission — transforming neuromuscular disease outcomes — with a platform (FORCE) designed for multi-decade pipeline expansion. However, management is relatively new (CEO John Cox since March 2024, avg tenure 0.8 years), Glassdoor reports significant leadership/culture concerns, and the single-platform concentration creates existential binary risk around DMD/DM1 readouts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Dyne's cause — delivering functional improvement for people with genetically driven neuromuscular diseases — is specific, patient-centered, and serves populations with high unmet medical need (DMD life expectancy ~26, DM1 is progressive and disabling) [1]. The FORCE platform is architected for long-run pipeline extension into FSHD, Pompe, and other rare diseases.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shows polarized reviews: 4/5 overall with 75% recommending, but multiple reviews cite 'terrible leadership in research,' 'favoritism and misogyny,' 'subordinates treated like slaves,' and 'no HR support' [2]. Sustainalytics 'Weak' ESG Material Risk Management rating is consistent with governance/culture concerns [3]. New CEO (March 2024) and 0.8-year average management tenure limit cultural visibility.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Dyne's competitive set is well-defined — Sarepta Therapeutics (EXONDYS/VYONDYS in DMD), Avidity Biosciences (oligonucleotide conjugates), and Biogen/Ionis (SPINRAZA platform) — and management frames z-rostudirsen explicitly as a 'next-generation Duchenne drug' relative to Sarepta's legacy franchise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FORCE platform provides existential flexibility across multiple neuromuscular indications beyond DMD/DM1, allowing Dyne to pivot R&amp;D emphasis based on clinical data [1]. However, near-term valuation is concentrated on two readouts, creating binary-event concentration risk.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Pursuing a 'next-generation' DMD therapy to compete with Sarepta's established franchise requires conviction and willingness to execute on differentiated clinical and commercial paths [1]. Dual-track pursuit of Accelerated Approval for DMD and DM1 within ~12 months is ambitious.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Dyne Therapeutics is positioned for a potential 2026-2027 inflection with two near-term registrational readouts: z-rostudirsen (DYN-251) for DMD on track for topline data from the DELIVER Registrational Expansion Cohort by December 2025/early 2026 to support a potential U.S. Accelerated Approval submission in Q2 2026, and DYNE-101 for DM1 (ACHIEVE trial) with full enrollment expected in early Q2 2026 [1]. Management is positioning the company as a fully integrated biotech with potential commercial launches beginning in Q1 2027, targeting two first-/best-in-class neuromuscular medicines within roughly one year [1]. The FORCE oligonucleotide-conjugate platform offers pipeline extensibility into FSHD, Pompe, and other rare genetic neuromuscular diseases. Analyst coverage is supportive (Bernstein favorable risk/reward, Jones Trading Buy) with insider backing adding confidence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reflects the binary nature of clinical-stage biotech. Dyne is pre-revenue with 0% profit margin, ROE of -55.7%, and forward P/E of -6.5x — the entire $3.27B market cap is optionality on DMD/DM1 clinical success [4]. The DELIVER data readout is a binary event; anything short of convincing dystrophin expression and functional improvement could compress shares by 50%+. Sarepta's entrenched DMD franchise, pricing/payer dynamics, and potential gene therapy competition create commercial risk even on approval. Governance/culture concerns include Sustainalytics 'Weak' ESG Material Risk Management rating and multiple Glassdoor reviews citing leadership dysfunction, favoritism, and HR gaps [2][3]. New CEO John Cox (March 2024) and 0.8-year average management tenure limit execution track record. WATCH until the Q2 2026 DMD readout confirms the efficacy thesis.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Topline z-rostudirsen DELIVER Registrational Expansion Cohort data supporting potential U.S. Accelerated Approval submission in Q2 2026 for DMD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Full enrollment of DYNE-101 ACHIEVE trial in DM1 in early Q2 2026, progressing toward registrational dataset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commercial launches beginning Q1 2027 with two potentially best-in-class neuromuscular medicines within roughly one year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clinical readout risk — DMD DELIVER data miss or insufficient dystrophin/functional improvement could compress equity value substantially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Commercial competition from Sarepta's established DMD franchise, Avidity Biosciences, and potential gene therapy entrants could limit payer uptake even on approval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Governance and culture concerns — Sustainalytics 'Weak' ESG Material Risk Management, multiple Glassdoor reviews citing 'terrible leadership,' 'favoritism and misogyny,' and no HR support, combined with 0.8-year average management tenure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Genetic medicine for rare neuromuscular diseases is largely insulated from AI disruption — the core value driver is clinical efficacy, regulatory approval, and patient access, none of which are easily automated away by AI [1][2]. AI tools may accelerate oligo/conjugate design but are complementary to the FORCE platform rather than competitive. Competition risk comes from Sarepta, Avidity, and other oligonucleotide peers rather than from AI-native entrants [1]. AI Opportunity (1/1): AI-assisted molecular design, patient identification via genomics platforms, and clinical trial optimization could accelerate Dyne's development timelines, though the company has not disclosed specific AI initiatives.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Dyne Therapeutics Q3 2025 Financial Results and Business Highlights; DELIVER, ACHIEVE trial updates; StatNews coverage of DMD filing plans (December 2025)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reviews, Simply Wall St management analysis — CEO John Cox (March 2024), 0.8-year avg tenure, polarized culture reviews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Sustainalytics ESG Risk Rating (Weak Management of ESG Material Risk); Dyne Corporate Responsibility page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DYN (Dyne Therapeutics),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