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EAT</w:t>
      </w:r>
      <w:r>
        <w:rPr>
          <w:rFonts w:ascii="Calibri" w:hAnsi="Calibri"/>
          <w:b/>
          <w:color w:val="1A2010"/>
          <w:sz w:val="40"/>
        </w:rPr>
        <w:t xml:space="preserve">  Brinker International,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2026-05-01 · Inspire: 35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Restaurants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Brinker International owns, operates, and franchises Chili's Grill &amp; Bar and Maggiano's Little Italy casual dining restaurants across the United States and internationally, with approximately 1,200 Chili's locations generating the vast majority of revenue.</w:t>
      </w:r>
    </w:p>
    <w:p>
      <w:r>
        <w:rPr>
          <w:rFonts w:ascii="Calibri" w:hAnsi="Calibri"/>
          <w:b/>
          <w:color w:val="6E8450"/>
          <w:sz w:val="18"/>
        </w:rPr>
        <w:t>83,840 Employees · https://brinker.com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(3/3): Under CEO Kevin Hochman (appointed 2022), Brinker executed one of the most celebrated casual dining turnarounds in recent history — Chili's has delivered 20 consecutive quarters of same-store sales growth through bold menu simplification, value-driven marketing (the viral 'Big Smasher' burger and $10.99 value meals), and operational efficiency improvements that reversed years of brand erosion [1]. AI Deployment (1/2): Brinker deploys restaurant-specific AI to connect guest sentiment directly to financial performance, using real-time data analytics to inform menu decisions and operational improvements at scale — a measurable competitive advantage cited in their Q3 FY2026 earnings [1][3]. Market Share Leadership (2/2): Chili's is gaining share in the casual dining segment at the expense of competitors like Applebee's, TGI Friday's (which filed for bankruptcy), and Red Lobster, with 4.0% comparable restaurant sales growth in Q3 FY2026 [1]. Product Pipeline (0/2): No announced next-generation concepts or new brand launches. R&amp;D Intensity (1/1): Capital expenditure guidance of $240-250M for FY2026 is above-average for casual dining, reflecting investment in kitchen technology, digital ordering, and restaurant remodels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Brinker's purpose centers on 'making people feel special' through casual dining hospitality — clear and relevant to their business but not deeply distinctive or transformative beyond the industry [4]. Community &amp; Charitable Impact (1/2): Brinker has established sustainability pillars ('Better World') and community engagement programs, and their 2021 Sustainability Report outlined goals for diverse representation (35% to 40% target) and hourly wage increases to $18+ [4]. Employee Retention (1/2): With 83,840 employees, Brinker's executive team rates in the bottom 15% on Comparably, and the restaurant industry inherently faces high turnover, though Hochman's turnaround has likely improved morale given Chili's operational momentum [3]. Insider Buying (1/2): CEO Kevin Hochman's compensation is equity-heavy, aligning interests, but no evidence of significant discretionary insider purchases was found beyond standard compensation-related holdings.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Brinker's financial profile is exceptionally strong for a casual dining operator: 139% ROE (driven by leverage), 12.2x forward P/E, 0.89 forward PEG, and 12.3% 3-year revenue CAGR from $3.8B (FY2022) to $5.4B (FY2025) reflect the Hochman turnaround's earnings power [1][2]. FY2026 guidance of $5.78-5.82B revenue and $10.60-10.85 non-GAAP EPS represents continued growth momentum [1]. The key weakness is leverage at 396% D/E ($1.6B debt vs. $57M cash), though this includes operating lease obligations standard for restaurant chains and is supported by $758M annual operating cash flow [2]. Profit margin of 8.1% is modest but improving, and free cash flow of $459M provides significant reinvestment capacity.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Brinker International under Kevin Hochman demonstrates strong infinite game characteristics — the CEO's willingness to simplify the menu (cutting 20+ items), invest in value during inflationary pressure, and rebuild brand relevance over multiple years rather than chasing quarterly trends exemplifies courageous, long-term leadership. However, the company's 20-quarter winning streak language and competitive framing against struggling rivals suggests elements of finite game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Brinker's purpose of making casual dining accessible and welcoming for families and communities has genuine depth rooted in the company's 50-year history since Norman Brinker's founding vision in 1975 [4]. Under Hochman, the strategic focus on value ($10.99 meals, 'Big Smasher' burger) directly serves middle-income families squeezed by inflation — a purpose that aligns operations with a real societal need. However, the cause is not yet validated through the test of sustained multi-decade consistency under the current leadership paradigm.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Brinker's executive team ratings rank in the bottom 15% on Comparably for companies with 10,000+ employees, suggesting trust challenges at the organizational level [3]. However, the Hochman turnaround has demonstrably improved front-line execution, as evidenced by 20 consecutive quarters of same-store sales growth — a result that requires operational buy-in across 1,200+ restaurants and 84,000 employees [1]. The tension between low executive trust scores and strong operational execution suggests mixed organizational health.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Brinker's competitive narrative prominently features 'winning' against casual dining peers — celebrating the demise of TGI Friday's and Red Lobster, emphasizing market share gains, and counting their '20-quarter streak' in fundamentally finite game language [1]. No evidence of management acknowledging competitors' strengths as motivation for self-improvement; the competitive framing is about defeating weakened rivals rather than learning from worthy ones.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The Hochman turnaround represents transformative strategic flexibility — upon arrival in 2022, he fundamentally restructured Chili's identity from a declining, over-complicated casual dining chain to a value-focused, operationally simplified brand, cutting 20+ menu items, redesigning the kitchen workflow, and repositioning the entire value proposition [1]. This was a deliberate destruction of the existing business model in service of long-term brand relevance — exactly Sinek's definition of existential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Kevin Hochman's first major decisions as CEO were to simplify the menu, cut underperforming items that generated revenue, and invest in value pricing during a period when competitors were raising prices — decisions that sacrificed short-term revenue for long-term brand positioning [1]. He invested in kitchen technology and operational efficiency during a period of restaurant industry uncertainty, demonstrating a pattern of choosing long-term capability over quarterly earnings. The results (20 consecutive quarters of comp growth, raised FY2026 guidance) validate these courageous bets.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Brinker International is executing one of the most successful casual dining turnarounds in recent history under CEO Kevin Hochman, with Chili's delivering 20 consecutive quarters of same-store sales growth, FY2026 revenue guidance raised to $5.78-5.82B, and non-GAAP EPS guidance of $10.60-10.85 [1]. At 12.2x forward P/E and 0.89 PEG with 139% ROE and $459M free cash flow, the stock offers compelling growth-at-a-reasonable-price characteristics while competitors like TGI Friday's and Red Lobster have exited through bankruptcy, concentrating market share toward survivors. The AI-driven guest sentiment analytics platform provides a scalable competitive advantage in menu optimization and operational execution.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rests on cyclical vulnerability and execution sustainability: casual dining is inherently exposed to consumer spending downturns, and a recession could reverse Chili's momentum given its focus on value-conscious consumers who may cut dining-out entirely [2]. D/E of 396% ($1.6B debt, only $57M cash) provides minimal balance sheet cushion if comparable sales turn negative, and the stock has already declined 19% from its 52-week high of $187.12, suggesting the market may be pricing in peak margins [2]. Maggiano's comparable sales declined 4.6% in Q3 FY2026, indicating the turnaround magic has not extended to the second brand [1]. Finally, the restaurant labor market remains tight with wage pressures that could compress the already-modest 8.1% profit margin.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Chili's comparable sales momentum beyond 20 quarters could drive further multiple expansion and institutional re-rating of the casual dining sector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International franchise expansion and new unit growth beyond the current ~1,200 Chili's locations represents an untapped growth vector that could extend the revenue runway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Margin expansion through AI-driven operational efficiency, kitchen automation, and menu simplification could push profit margins above 10% for the first time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Consumer spending recession would disproportionately impact casual dining — Brinker's value-focused customers are the most likely to eliminate restaurant visits entirely during economic downturns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396% D/E with only $57M cash provides minimal buffer against a comparable sales downturn; negative same-store sales for even 2-3 quarters could trigger covenant concerns on $1.6B debt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Maggiano's declining 4.6% in Q3 FY2026 suggests the turnaround is Chili's-specific rather than organizational, creating concentration risk if the Hochman playbook does not transfer to the premium segment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 — IMMUNE): Casual dining restaurants are fundamentally physical-world businesses — preparing food, serving guests, and creating in-restaurant experiences cannot be displaced by AI [1]. Brinker operates 1,200+ restaurant locations with 84,000 employees performing inherently human tasks. Rather than facing AI disruption, Brinker is using AI as an enabler, deploying restaurant-specific AI analytics to translate real-time guest sentiment into menu and operational decisions that directly drive same-store sales growth [1][3]. AI Opportunity (0/1): While Brinker uses AI tools internally for operational intelligence, it does not generate revenue from AI products or services — AI is a cost-efficiency and decision-making tool, not a revenue stream.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Brinker International Q3 FY2026 Earnings Release and Guidance Update,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EAT key statistics,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Comparably — Brinker International executive team and culture ratings,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Brinker International Sustainability Report and corporate website,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