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EBC</w:t>
      </w:r>
      <w:r>
        <w:rPr>
          <w:rFonts w:ascii="Calibri" w:hAnsi="Calibri"/>
          <w:b/>
          <w:color w:val="1A2010"/>
          <w:sz w:val="40"/>
        </w:rPr>
        <w:t xml:space="preserve">  Eastern Bankshares, Inc.</w:t>
      </w:r>
    </w:p>
    <w:p>
      <w:pPr>
        <w:spacing w:after="120"/>
      </w:pPr>
      <w:r>
        <w:rPr>
          <w:rFonts w:ascii="Calibri" w:hAnsi="Calibri"/>
          <w:b/>
          <w:color w:val="6E8450"/>
          <w:sz w:val="18"/>
        </w:rPr>
        <w:t>DIVIDEND SLEEVE · 2026-04-17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Eastern Bankshares is the holding company for Eastern Bank, a community bank founded in 1818 offering commercial and retail banking, wealth management, and trust services across Massachusetts. Following the 2024 merger with Cambridge Trust Company, Eastern is pursuing a merger with HarborOne Bancorp to create a $30+ billion institution as the largest Massachusetts-headquartered bank.</w:t>
      </w:r>
    </w:p>
    <w:p>
      <w:r>
        <w:rPr>
          <w:rFonts w:ascii="Calibri" w:hAnsi="Calibri"/>
          <w:b/>
          <w:color w:val="6E8450"/>
          <w:sz w:val="18"/>
        </w:rPr>
        <w:t>2,247 Employees · https://www.easternbank.com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Eastern completed the Cambridge Trust merger in 2024, consolidating its position in Massachusetts, and entered a definitive merger agreement with HarborOne Bancorp ($5.7B bank) expected to be 16% EPS accretive [1]. These are strategic acquisitions rather than product innovation. AI Deployment (0/2): No evidence of AI-powered products or quantified AI-driven cost savings. The company has a CIO (Donald Westermann) overseeing technology and a Chief Product Officer (Sujata Yadav) focusing on digital banking, but no specific AI deployments were found [2]. Market Share (1/2): Eastern is positioned to become the largest Massachusetts-headquartered bank with $30B+ in assets after the HarborOne merger, a meaningful regional market position [1]. Pipeline (1/2): The HarborOne merger provides specific near-term growth visibility with 16% EPS accretion expected, regulatory applications filed, and closure anticipated; however, beyond M&amp;A, organic growth pipeline is unclear [1]. R&amp;D Intensity (1/1): Investment in digital banking, cybersecurity, and technology operations through Eastern Labs and a centralized product team shows above-average tech commitment for a regional bank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Eastern Bank has a specific and thoughtful mission centered on community banking — 'Join us for good' — with over 200 years of serving Massachusetts communities. The mission connects banking to community prosperity and is distinctive among regional bank peers [3]. Community Impact (2/2): Outstanding philanthropic record — Eastern has given more than $240 million in charitable contributions since 1994 through the Eastern Bank Foundation, supporting employment, healthcare, housing, child development, and immigration services. This is distinctive and specific community investment well above banking peers [3]. Employee Retention (0/2): Glassdoor rating of 3.7/5.0 is average for financial services. Concerning reports from former Cambridge Trust employees describe mass layoffs and branch closures following the 2024 merger, despite promises of a smooth transition [2]. Insider Buying (1/2): No specific insider buying data found, but the leadership transition to CEO Denis Sheahan (formerly Cambridge Trust CEO) with significant equity exposure suggests moderate alignment. Scored conservatively as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Eastern Bank's financials reflect a community bank in merger-integration mode. Forward P/E of 9.3x is highly attractive for a banking franchise growing at 32.8% quarterly revenue growth [5]. However, trailing P/E of 48.2x and ROE of just 2.2% reflect depressed 2025 earnings from merger-related charges ($88.2M net income in 2025 vs. $186.5M in 2022) [5]. Profit margin of 12.7% is modest. Payout ratio of 118.6% exceeds 100% due to temporarily depressed earnings but the $0.52 annual dividend ($0.13/quarter) is well-covered by forward EPS of $2.22 [5]. Dividend history spans 5 years since the 2020 IPO with consistent growth from $0.24 to $0.52 annually (16.7% 5yr CAGR) [5]. Liquidity floor easily passes: 2.1M avg vol × $20.73 = $43.5M daily. Dividend infrastructure calculation: ROE 2.2% → 0.15 (1×); Rev Growth YoY 32.8% → 1.0 (1×); Rev Growth 5yr ~4% → 0.6 (1×); Forward P/E 9.3 → 1.0 (1×); Profit Margin 12.7% → 0.63 (1×); Payout Ratio 118.6% → 0.0 (1×); Consec Years Paid 5 → 0.5 (2×); Consec Years Growth 4 → 0.4 (1×); Div Growth 5yr 16.7% → 1.0 (2×). Weighted sum = 6.78, max = 11, score = 6.2 → 6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Eastern Bank's 200+ year history demonstrates genuine infinite game characteristics — few institutions survive two centuries without playing to endure. The community banking mission is authentic and validated by $240M+ in charitable giving. However, the aggressive M&amp;A strategy (Cambridge Trust 2024, HarborOne 2025) and associated integration challenges raise questions about whether growth is driven by the mission or by finite competitive pressures to build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Eastern Bank's 'Join us for good' mission has been validated by 200+ years of community banking and $240M+ in charitable contributions since 1994 [3]. The mission connects banking to community prosperity in a way that differentiates from typical bank platitudes. The merger strategy can be interpreted as advancing the cause — creating a larger platform for community impact — though it's not yet proven that scale enhances the mission rather than diluting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Concerning signals emerged from the Cambridge Trust merger — former employees describe 'drastic' changes, branch closures, and mass layoffs despite promises of a smooth transition [2]. Glassdoor rating of 3.7/5 is average, and the 53% recommendation rate is below industry norms. Board diversity is strong (45% women/POC), but merger integration appears to have damaged internal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Eastern Bank acknowledges the competitive pressure from larger national banks and uses it to differentiate on community focus, local expertise, and charitable commitment rather than trying to beat them on scale or technology [3]. The merger strategy with HarborOne is positioned as building capability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Eastern Bank demonstrated meaningful flexibility by converting from a mutual savings bank to a public company in 2020 (IPO), then executing the Cambridge Trust acquisition in 2024 and pursuing HarborOne in 2025 [1]. Each move represents strategic evolution. The shift from pure community bank to a $30B+ regional institution is a significant business model evolution, though driven partly by competitive necessity.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Eastern's $240M+ charitable giving record and commitment to community banking over 200+ years demonstrate consistent values-driven leadership [3]. The decision to pursue the HarborOne merger while still integrating Cambridge Trust shows aggressive growth ambition. However, the merger execution challenges (layoffs, branch closures) suggest the leadership may prioritize financial efficiency over people during transitions.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Eastern Bankshares is a 200-year-old Massachusetts community bank executing an aggressive consolidation strategy to become the state's largest headquartered bank with $30B+ in assets. The pending HarborOne merger is projected to be 16% EPS accretive, and forward P/E of 9.3x against forward EPS of $2.22 suggests significant earnings normalization ahead [1][5]. Q4 2025 earnings growth of 63.7% YoY signals the post-merger integration is bearing fruit. The 2.51% dividend yield with a 16.7% five-year dividend growth CAGR provides an attractive income profile for a bank trading below tangible book value [5]. Eastern's $240M+ community giving record and 200-year operating history provide franchise durability that newer fintech competitors lack [3].</w:t>
      </w:r>
    </w:p>
    <w:p>
      <w:pPr>
        <w:spacing w:after="120"/>
      </w:pPr>
      <w:r>
        <w:rPr>
          <w:rFonts w:ascii="Calibri" w:hAnsi="Calibri"/>
          <w:b w:val="0"/>
          <w:color w:val="3A4A28"/>
          <w:sz w:val="20"/>
        </w:rPr>
        <w:t>The bear case centers on merger integration risk and normalized profitability. Trailing ROE of just 2.2% and a payout ratio exceeding 100% of current earnings highlight that the bank's core profitability has been severely impacted by merger charges [5]. The Cambridge Trust integration drew employee criticism including mass layoffs and branch closures, and the HarborOne merger adds another complex integration before the first is fully digested [2]. Interest rate sensitivity creates macro risk — Eastern's net interest income of $828.6M depends heavily on rate spread dynamics. The bank's D/E ratio is not available (banking-specific leverage metrics apply), and competition from national banks and fintechs continues to pressure community banking margins. Regulatory approval risk for the HarborOne merger remains, and CRA/antitrust scrutiny is a standard overhang for bank M&amp;A of this size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HarborOne Bancorp merger completion expected in late 2025, creating a $30B+ institution and delivering 16% EPS accretion that should normalize forward earnings to $2.22 [1]</w:t>
      </w:r>
    </w:p>
    <w:p>
      <w:pPr>
        <w:spacing w:before="40" w:after="40"/>
        <w:ind w:left="283"/>
      </w:pPr>
      <w:r>
        <w:rPr>
          <w:rFonts w:ascii="Calibri" w:hAnsi="Calibri"/>
          <w:b/>
          <w:color w:val="4A6B25"/>
          <w:sz w:val="20"/>
        </w:rPr>
        <w:t xml:space="preserve">2. </w:t>
      </w:r>
      <w:r>
        <w:rPr>
          <w:rFonts w:ascii="Calibri" w:hAnsi="Calibri"/>
          <w:b w:val="0"/>
          <w:color w:val="3A4A28"/>
          <w:sz w:val="20"/>
        </w:rPr>
        <w:t>Earnings normalization from post-merger integration — forward P/E of 9.3x vs. trailing 48.2x suggests significant earnings recovery ahead as merger charges fade [5]</w:t>
      </w:r>
    </w:p>
    <w:p>
      <w:pPr>
        <w:spacing w:before="40" w:after="40"/>
        <w:ind w:left="283"/>
      </w:pPr>
      <w:r>
        <w:rPr>
          <w:rFonts w:ascii="Calibri" w:hAnsi="Calibri"/>
          <w:b/>
          <w:color w:val="4A6B25"/>
          <w:sz w:val="20"/>
        </w:rPr>
        <w:t xml:space="preserve">3. </w:t>
      </w:r>
      <w:r>
        <w:rPr>
          <w:rFonts w:ascii="Calibri" w:hAnsi="Calibri"/>
          <w:b w:val="0"/>
          <w:color w:val="3A4A28"/>
          <w:sz w:val="20"/>
        </w:rPr>
        <w:t>Dividend growth continuation — 16.7% five-year dividend CAGR with capacity for further increases as earnings normalize to cover the current $0.52 annual payout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Back-to-back merger integration risk — absorbing HarborOne while still digesting Cambridge Trust creates operational complexity and employee morale challenges [2]</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net interest income of $828.6M could compress if rate spreads narrow, directly impacting profitability [5]</w:t>
      </w:r>
    </w:p>
    <w:p>
      <w:pPr>
        <w:spacing w:before="40" w:after="40"/>
        <w:ind w:left="283"/>
      </w:pPr>
      <w:r>
        <w:rPr>
          <w:rFonts w:ascii="Calibri" w:hAnsi="Calibri"/>
          <w:b/>
          <w:color w:val="4A6B25"/>
          <w:sz w:val="20"/>
        </w:rPr>
        <w:t xml:space="preserve">3. </w:t>
      </w:r>
      <w:r>
        <w:rPr>
          <w:rFonts w:ascii="Calibri" w:hAnsi="Calibri"/>
          <w:b w:val="0"/>
          <w:color w:val="3A4A28"/>
          <w:sz w:val="20"/>
        </w:rPr>
        <w:t>Trailing ROE of 2.2% and payout ratio above 100% indicate current earnings are insufficient to sustain the dividend without merger-driven earnings normalization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Community banking is moderately protected from AI disruption. Core lending relationships, commercial real estate expertise, and trust/wealth management services require human judgment and local market knowledge that AI cannot easily replicate [1]. However, routine banking operations (transaction processing, basic underwriting, customer service) face meaningful AI automation pressure that could squeeze margins. Larger banks with bigger AI budgets (JPMorgan, BofA) may use AI to compete more effectively in Eastern's geography. The HarborOne merger creates scale that provides some AI investment capacity [1]. AI Opportunity (1/1): Eastern Labs and the centralized product team are positioned to deploy AI for digital banking, fraud detection, and customer analytics, though no specific AI revenue has been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Eastern Bank Q4 2025 Earnings and HarborOne Merger Announcement — 16% EPS accretion, $30B+ combined institution, 2025-2026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Eastern Bank 3.7/5 rating, Cambridge Trust merger integration concerns, 2024-2025</w:t>
      </w:r>
    </w:p>
    <w:p>
      <w:pPr>
        <w:spacing w:before="20" w:after="20"/>
        <w:ind w:left="170"/>
      </w:pPr>
      <w:r>
        <w:rPr>
          <w:rFonts w:ascii="Calibri" w:hAnsi="Calibri"/>
          <w:b/>
          <w:color w:val="4A6B25"/>
          <w:sz w:val="15"/>
        </w:rPr>
        <w:t xml:space="preserve">3. </w:t>
      </w:r>
      <w:r>
        <w:rPr>
          <w:rFonts w:ascii="Calibri" w:hAnsi="Calibri"/>
          <w:b w:val="0"/>
          <w:color w:val="3A4A28"/>
          <w:sz w:val="17"/>
        </w:rPr>
        <w:t>Eastern Bank Foundation — $240M+ charitable giving since 1994, community banking mission, Board diversity metrics</w:t>
      </w:r>
    </w:p>
    <w:p>
      <w:pPr>
        <w:spacing w:before="20" w:after="20"/>
        <w:ind w:left="170"/>
      </w:pPr>
      <w:r>
        <w:rPr>
          <w:rFonts w:ascii="Calibri" w:hAnsi="Calibri"/>
          <w:b/>
          <w:color w:val="4A6B25"/>
          <w:sz w:val="15"/>
        </w:rPr>
        <w:t xml:space="preserve">4. </w:t>
      </w:r>
      <w:r>
        <w:rPr>
          <w:rFonts w:ascii="Calibri" w:hAnsi="Calibri"/>
          <w:b w:val="0"/>
          <w:color w:val="3A4A28"/>
          <w:sz w:val="17"/>
        </w:rPr>
        <w:t>StockStory — Eastern Bank Q4 CY2025 results in line with expectations, revenue and earnings analysis, January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EBC (Eastern Bankshares),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