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EBS</w:t>
      </w:r>
      <w:r>
        <w:rPr>
          <w:rFonts w:ascii="Calibri" w:hAnsi="Calibri"/>
          <w:b/>
          <w:color w:val="1A2010"/>
          <w:sz w:val="40"/>
        </w:rPr>
        <w:t xml:space="preserve">  Emergent BioSolutions Inc.</w:t>
      </w:r>
    </w:p>
    <w:p>
      <w:pPr>
        <w:spacing w:after="120"/>
      </w:pPr>
      <w:r>
        <w:rPr>
          <w:rFonts w:ascii="Calibri" w:hAnsi="Calibri"/>
          <w:b/>
          <w:color w:val="6E8450"/>
          <w:sz w:val="18"/>
        </w:rPr>
        <w:t>GROWTH SLEEVE · 2026-05-06 · Inspire: 29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Drug Manufacturers - Specialty &amp; Generic · NYSE · United States</w:t>
      </w:r>
    </w:p>
    <w:p>
      <w:pPr>
        <w:spacing w:after="80"/>
      </w:pPr>
      <w:r>
        <w:rPr>
          <w:rFonts w:ascii="Calibri" w:hAnsi="Calibri"/>
          <w:b w:val="0"/>
          <w:color w:val="3A4A28"/>
          <w:sz w:val="20"/>
        </w:rPr>
        <w:t>Emergent BioSolutions Inc. is a life sciences company providing preparedness and response solutions for public health threats. Its portfolio includes biodefense products (anthrax vaccines, smallpox treatments), opioid overdose reversal products (NARCAN, KLOXXADO), and contract development and manufacturing services for the U.S. government and international customers.</w:t>
      </w:r>
    </w:p>
    <w:p>
      <w:r>
        <w:rPr>
          <w:rFonts w:ascii="Calibri" w:hAnsi="Calibri"/>
          <w:b/>
          <w:color w:val="6E8450"/>
          <w:sz w:val="18"/>
        </w:rPr>
        <w:t>900 Employees · https://www.emergentbiosolutions.com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Emergent's innovation is concentrated in niche biodefense products — ACAM2000, BioThrax, CYFENDUS, TEMBEXA, and Ebanga — that serve critical government preparedness needs but operate in narrow markets with limited commercial upside[1]. The NARCAN nasal spray for opioid overdose reversal represents the company's most commercially innovative product, addressing a growing public health crisis. Internal R&amp;D pipeline includes line extensions for naloxone and expansion of TEMBEXA, EBANGA, and raxibacumab, but the company lacks the breakthrough drug discovery pipeline of typical biotech innovators[1].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Joseph C. Papa, appointed in 2024, brings 35+ years of pharmaceutical leadership experience from Bausch Health, Perrigo, and Cardinal Health, providing credible turnaround leadership for a company that has endured significant operational and reputational challenges[3]. Glassdoor rates the company 3.4/5.0 with decent work-life balance (3.6) but below-average career development (3.2)[4]. The Congressional investigation examining Emergent's failure to protect public health during COVID vaccine manufacturing left a reputational scar that the new leadership team is still working to overcome[3].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Emergent's financials reflect a company in turnaround mode — FY2025 revenue fell 30% to $705M after losing a large non-recurring international order, though the company swung to a $52.6M net profit after three consecutive years of losses totaling $1.16B[2]. The forward P/E of 3.0 and PEG of 0.38 are exceptionally cheap, reflecting significant uncertainty about whether the turnaround is sustainable. Debt-to-equity of 112% is elevated but manageable after refinancing that extended maturities and lowered interest costs[1]. The FY2026 revenue guidance of $720-760M implies a return to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Emergent BioSolutions has a genuinely important mission — protecting against bioterrorism and public health threats — that transcends quarterly earnings, but the company's execution failures during COVID vaccine manufacturing and three years of massive losses demonstrate finite-game operational choices that undermined its infinite-game mission. The turnaround under CEO Papa shows promise but remains unproven.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Emergent's mission of providing preparedness and response solutions for public health threats — from anthrax to smallpox to opioid overdoses — is inherently purposeful and serves a cause larger than the company itself[1]. The company maintains the nation's only FDA-licensed anthrax vaccine and critical biodefense countermeasures, filling a role no other company can easily replicate.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Glassdoor's 3.4/5.0 rating with 518 reviews indicates a functional but uninspiring workplace culture[4]. The reduction from approximately 3,100 employees to 900 during the turnaround represents massive restructuring that likely eroded institutional trust, though the company has stabilized under new leadership. Work-life balance scored above average at 3.6.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Emergent operates in a near-monopoly position for many biodefense products, which paradoxically limits rival-driven improvement. The company's quality failures during COVID J&amp;J vaccine manufacturing — which led to Congressional investigation — suggest complacency that comes from insufficient competitive pressure in government-contract-dependent businesses[3].</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strategic pivot toward commercial products (NARCAN/KLOXXADO for opioid overdose) demonstrates meaningful flexibility beyond government-dependent biodefense[1]. CEO Papa's decision to divest non-core assets, refinance debt, and focus on a smaller, more profitable portfolio shows willingness to fundamentally reshape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Papa has shown courage in executing a painful turnaround — cutting 70% of the workforce, divesting assets, and refinancing debt — to stabilize a company that was losing hundreds of millions annually[1][3]. The FY2026 guidance of $720-760M with adjusted EBITDA profitability suggests the turnaround is gaining traction, but sustaining courage through continued execution remains the challenge.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Emergent BioSolutions is a deep-value turnaround play trading at a forward P/E of 3.0 and PEG of 0.38, reflecting extreme market skepticism about the sustainability of its recovery[2]. Q1 2026 revenue of $156M exceeded the high end of guidance with $36M adjusted EBITDA, and FY2025 marked the first profitable year ($52.6M net income) after three years of cumulative losses exceeding $1.1B[1][2]. The company's irreplaceable biodefense franchise — including the nation's only FDA-licensed anthrax vaccine — and growing NARCAN commercial business provide a durable revenue base, while debt refinancing has improved balance sheet flexibility and lowered interest costs[1].</w:t>
      </w:r>
    </w:p>
    <w:p>
      <w:pPr>
        <w:spacing w:after="120"/>
      </w:pPr>
      <w:r>
        <w:rPr>
          <w:rFonts w:ascii="Calibri" w:hAnsi="Calibri"/>
          <w:b w:val="0"/>
          <w:color w:val="3A4A28"/>
          <w:sz w:val="20"/>
        </w:rPr>
        <w:t>The bear case centers on structural revenue decline — from $1.08B in 2022 to $705M in 2025 — driven by the loss of non-recurring government orders and the lingering reputational damage from COVID-era manufacturing failures that triggered Congressional investigation[2][3]. FY2026 guidance of $720-760M implies modest recovery but remains well below historical peaks. The 112% debt-to-equity ratio constrains financial flexibility, and the company's heavy dependence on U.S. government contracts creates concentration risk and political vulnerability. With only 900 employees remaining after massive restructuring, the company's ability to execute on pipeline expansion and manufacturing quality is uncertain.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3.0 and PEG of 0.38 offer significant upside if the earnings turnaround proves sustainable[2]</w:t>
      </w:r>
    </w:p>
    <w:p>
      <w:pPr>
        <w:spacing w:before="40" w:after="40"/>
        <w:ind w:left="283"/>
      </w:pPr>
      <w:r>
        <w:rPr>
          <w:rFonts w:ascii="Calibri" w:hAnsi="Calibri"/>
          <w:b/>
          <w:color w:val="4A6B25"/>
          <w:sz w:val="20"/>
        </w:rPr>
        <w:t xml:space="preserve">2. </w:t>
      </w:r>
      <w:r>
        <w:rPr>
          <w:rFonts w:ascii="Calibri" w:hAnsi="Calibri"/>
          <w:b w:val="0"/>
          <w:color w:val="3A4A28"/>
          <w:sz w:val="20"/>
        </w:rPr>
        <w:t>Debt refinancing lowering interest costs and extending maturities provides improved balance sheet flexibility for growth investments[1]</w:t>
      </w:r>
    </w:p>
    <w:p>
      <w:pPr>
        <w:spacing w:before="40" w:after="40"/>
        <w:ind w:left="283"/>
      </w:pPr>
      <w:r>
        <w:rPr>
          <w:rFonts w:ascii="Calibri" w:hAnsi="Calibri"/>
          <w:b/>
          <w:color w:val="4A6B25"/>
          <w:sz w:val="20"/>
        </w:rPr>
        <w:t xml:space="preserve">3. </w:t>
      </w:r>
      <w:r>
        <w:rPr>
          <w:rFonts w:ascii="Calibri" w:hAnsi="Calibri"/>
          <w:b w:val="0"/>
          <w:color w:val="3A4A28"/>
          <w:sz w:val="20"/>
        </w:rPr>
        <w:t>NARCAN commercial expansion and international MCM order pipeline could drive FY2026 revenue above the $720-760M guidance range[1]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declined 34% from $1.08B (2022) to $705M (2025), with recovery to $720-760M guidance still well below historical levels[2]</w:t>
      </w:r>
    </w:p>
    <w:p>
      <w:pPr>
        <w:spacing w:before="40" w:after="40"/>
        <w:ind w:left="283"/>
      </w:pPr>
      <w:r>
        <w:rPr>
          <w:rFonts w:ascii="Calibri" w:hAnsi="Calibri"/>
          <w:b/>
          <w:color w:val="4A6B25"/>
          <w:sz w:val="20"/>
        </w:rPr>
        <w:t xml:space="preserve">2. </w:t>
      </w:r>
      <w:r>
        <w:rPr>
          <w:rFonts w:ascii="Calibri" w:hAnsi="Calibri"/>
          <w:b w:val="0"/>
          <w:color w:val="3A4A28"/>
          <w:sz w:val="20"/>
        </w:rPr>
        <w:t>Congressional investigation of COVID manufacturing failures and three years of cumulative $1.16B losses have severely damaged institutional credibility[3]</w:t>
      </w:r>
    </w:p>
    <w:p>
      <w:pPr>
        <w:spacing w:before="40" w:after="40"/>
        <w:ind w:left="283"/>
      </w:pPr>
      <w:r>
        <w:rPr>
          <w:rFonts w:ascii="Calibri" w:hAnsi="Calibri"/>
          <w:b/>
          <w:color w:val="4A6B25"/>
          <w:sz w:val="20"/>
        </w:rPr>
        <w:t xml:space="preserve">3. </w:t>
      </w:r>
      <w:r>
        <w:rPr>
          <w:rFonts w:ascii="Calibri" w:hAnsi="Calibri"/>
          <w:b w:val="0"/>
          <w:color w:val="3A4A28"/>
          <w:sz w:val="20"/>
        </w:rPr>
        <w:t>Heavy U.S. government contract dependence (MCM products) creates concentration risk subject to political budget priorities and procurement cycles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poses minimal direct disruption risk to Emergent's biodefense business, which is protected by government contracts, regulatory barriers, and specialized manufacturing capabilities that AI cannot replicate[3]. The company has begun integrating AI through SAP and cloud platforms for operational efficiency, and executives have articulated a human-AI collaborative approach to manufacturing and quality control[3]. AI's potential to accelerate drug discovery is a modest positive for pipeline development, though Emergent's primary value proposition is manufacturing scale and regulatory expertise rather than R&amp;D innovation.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Emergent BioSolutions Q1 2026 Earnings Release and Call,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EBS key statistics and financials,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Investing.com — Emergent BioSolutions CEO appointment and leadership analysis, 2024-2026</w:t>
      </w:r>
    </w:p>
    <w:p>
      <w:pPr>
        <w:spacing w:before="20" w:after="20"/>
        <w:ind w:left="170"/>
      </w:pPr>
      <w:r>
        <w:rPr>
          <w:rFonts w:ascii="Calibri" w:hAnsi="Calibri"/>
          <w:b/>
          <w:color w:val="4A6B25"/>
          <w:sz w:val="15"/>
        </w:rPr>
        <w:t xml:space="preserve">4. </w:t>
      </w:r>
      <w:r>
        <w:rPr>
          <w:rFonts w:ascii="Calibri" w:hAnsi="Calibri"/>
          <w:b w:val="0"/>
          <w:color w:val="3A4A28"/>
          <w:sz w:val="17"/>
        </w:rPr>
        <w:t>Glassdoor — Emergent BioSolutions employee reviews (518 reviews),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Emergent BioSolutions ESG and Corporate Impact Reports,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