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drawing>
          <wp:inline xmlns:a="http://schemas.openxmlformats.org/drawingml/2006/main" xmlns:pic="http://schemas.openxmlformats.org/drawingml/2006/picture">
            <wp:extent cx="1371600" cy="723227"/>
            <wp:docPr id="1" name="Picture 1"/>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371600" cy="723227"/>
                    </a:xfrm>
                    <a:prstGeom prst="rect"/>
                  </pic:spPr>
                </pic:pic>
              </a:graphicData>
            </a:graphic>
          </wp:inline>
        </w:drawing>
      </w:r>
    </w:p>
    <w:p>
      <w:pPr>
        <w:spacing w:before="120" w:after="40"/>
      </w:pPr>
      <w:r>
        <w:rPr>
          <w:rFonts w:ascii="Calibri" w:hAnsi="Calibri"/>
          <w:b/>
          <w:color w:val="4A6B25"/>
          <w:sz w:val="56"/>
        </w:rPr>
        <w:t>ECVT</w:t>
      </w:r>
      <w:r>
        <w:rPr>
          <w:rFonts w:ascii="Calibri" w:hAnsi="Calibri"/>
          <w:b/>
          <w:color w:val="1A2010"/>
          <w:sz w:val="40"/>
        </w:rPr>
        <w:t xml:space="preserve">  Ecovyst Inc.</w:t>
      </w:r>
    </w:p>
    <w:p>
      <w:pPr>
        <w:spacing w:after="120"/>
      </w:pPr>
      <w:r>
        <w:rPr>
          <w:rFonts w:ascii="Calibri" w:hAnsi="Calibri"/>
          <w:b/>
          <w:color w:val="6E8450"/>
          <w:sz w:val="18"/>
        </w:rPr>
        <w:t>GROWTH SLEEVE · 2026-04-23 · Inspire: 62 · MIXED</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1200" w:type="dxa"/>
      </w:tblPr>
      <w:tblGrid>
        <w:gridCol w:w="10800"/>
      </w:tblGrid>
      <w:tr>
        <w:tc>
          <w:tcPr>
            <w:tcW w:type="dxa" w:w="10800"/>
            <w:shd w:fill="E3F2FD" w:val="clear"/>
          </w:tcPr>
          <w:p>
            <w:pPr>
              <w:spacing w:before="40" w:after="40"/>
              <w:jc w:val="center"/>
            </w:pPr>
            <w:r>
              <w:rPr>
                <w:rFonts w:ascii="Calibri" w:hAnsi="Calibri"/>
                <w:b/>
                <w:color w:val="2563EB"/>
                <w:sz w:val="20"/>
              </w:rPr>
              <w:t>WATCH</w:t>
            </w:r>
          </w:p>
        </w:tc>
      </w:tr>
    </w:tbl>
    <w:p>
      <w:pPr>
        <w:spacing w:before="120" w:after="200"/>
      </w:pPr>
      <w:r>
        <w:rPr>
          <w:rFonts w:ascii="Calibri" w:hAnsi="Calibri"/>
          <w:b/>
          <w:color w:val="1A2010"/>
          <w:sz w:val="80"/>
        </w:rPr>
        <w:t>52</w:t>
      </w:r>
      <w:r>
        <w:rPr>
          <w:rFonts w:ascii="Calibri" w:hAnsi="Calibri"/>
          <w:b w:val="0"/>
          <w:color w:val="9DAF88"/>
          <w:sz w:val="28"/>
        </w:rPr>
        <w:t xml:space="preserve"> / </w:t>
      </w:r>
      <w:r>
        <w:rPr>
          <w:rFonts w:ascii="Calibri" w:hAnsi="Calibri"/>
          <w:b w:val="0"/>
          <w:color w:val="9DAF88"/>
          <w:sz w:val="24"/>
        </w:rPr>
        <w:t>100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COMPANY PROFILE</w:t>
            </w:r>
          </w:p>
        </w:tc>
      </w:tr>
    </w:tbl>
    <w:p>
      <w:r>
        <w:rPr>
          <w:rFonts w:ascii="Calibri" w:hAnsi="Calibri"/>
          <w:b/>
          <w:color w:val="6E8450"/>
          <w:sz w:val="18"/>
        </w:rPr>
        <w:t>Basic Materials · Specialty Chemicals · NYSE · United States</w:t>
      </w:r>
    </w:p>
    <w:p>
      <w:pPr>
        <w:spacing w:after="80"/>
      </w:pPr>
      <w:r>
        <w:rPr>
          <w:rFonts w:ascii="Calibri" w:hAnsi="Calibri"/>
          <w:b w:val="0"/>
          <w:color w:val="3A4A28"/>
          <w:sz w:val="20"/>
        </w:rPr>
        <w:t>Ecovyst provides virgin and regenerated sulfuric acid products and services for refinery alkylation, mining, water treatment, and industrial applications. The company also offers catalyst regeneration and recycling services. Founded in 1831 and formerly known as PQ Group Holdings, Ecovyst rebranded in 2021 to reflect its focus on sustainable, eco-friendly chemical solutions.</w:t>
      </w:r>
    </w:p>
    <w:p>
      <w:r>
        <w:rPr>
          <w:rFonts w:ascii="Calibri" w:hAnsi="Calibri"/>
          <w:b/>
          <w:color w:val="6E8450"/>
          <w:sz w:val="18"/>
        </w:rPr>
        <w:t>617 Employees · https://www.ecovyst.com</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EXCELLENCE EVALUATION — THINK LIKE AN OWNER (50%)</w:t>
            </w:r>
          </w:p>
        </w:tc>
      </w:tr>
    </w:tbl>
    <w:p>
      <w:pPr>
        <w:spacing w:before="200" w:after="40"/>
      </w:pPr>
      <w:r>
        <w:rPr>
          <w:rFonts w:ascii="Calibri" w:hAnsi="Calibri"/>
          <w:b/>
          <w:color w:val="1A2010"/>
          <w:sz w:val="22"/>
        </w:rPr>
        <w:t>Innovation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Track Record (1/3): Ecovyst rebranded from PQ Group Holdings in 2021 and divested its silica catalyst business to focus on Ecoservices, but this was a simplification rather than a transformative pivot — the core sulfuric acid and regeneration business has been essentially unchanged for decades [1]. AI Deployment (0/2): No evidence of AI-powered products, services, or meaningful internal AI deployment was found; the company's operations are traditional chemical processing [2]. Market Share (1/2): Ecovyst holds a meaningful position in the North American sulfuric acid regeneration market, providing essential services to refineries, but is not a dominant category leader in the broader specialty chemicals sector [1]. Pipeline (1/2): 2026 revenue guidance of $860-940M represents significant growth from $724M trailing revenue, driven by regeneration services expansion, but no specific next-generation products or technologies with named timelines were announced [1]. R&amp;D Intensity (1/1): As a specialty chemicals company, Ecovyst invests in process optimization and sustainability improvements above average for its sector, including DCS furnace optimization systems that reduced CO2 by 4,900 tonnes/year [3].</w:t>
      </w:r>
    </w:p>
    <w:p>
      <w:pPr>
        <w:spacing w:before="200" w:after="40"/>
      </w:pPr>
      <w:r>
        <w:rPr>
          <w:rFonts w:ascii="Calibri" w:hAnsi="Calibri"/>
          <w:b/>
          <w:color w:val="1A2010"/>
          <w:sz w:val="22"/>
        </w:rPr>
        <w:t>Inspiration</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Mission Floor (2/4): Ecovyst positions itself as providing sustainable chemical solutions, with a rebranding that emphasizes eco-friendly operations — clear purpose but not distinctive or transformative, as sustainability is increasingly table stakes for chemical companies [3]. Community Impact (1/2): The company publishes sustainability reports aligned with GRI and SASB, has maintained zero Level 3 environmental releases since 2016, and supports UN SDGs, but no specific charitable programs or community investment dollar amounts were identified [3]. Employee Retention (0/2): Glassdoor rating of 3.2/5 with only 29 reviews is concerning; employees cite constantly changing senior leadership, poor communication, and lack of transparency — culture and values scored 2.6/5 and work-life balance 2.7/5, indicating retention challenges [2]. Insider Buying (1/2): CEO Kurt Bitting has led Ecovyst since 2022, having built the Ecoservices business over 15 years, providing meaningful institutional knowledge, but no specific recent insider purchase data was found [2].</w:t>
      </w:r>
    </w:p>
    <w:p>
      <w:pPr>
        <w:spacing w:before="200" w:after="40"/>
      </w:pPr>
      <w:r>
        <w:rPr>
          <w:rFonts w:ascii="Calibri" w:hAnsi="Calibri"/>
          <w:b/>
          <w:color w:val="1A2010"/>
          <w:sz w:val="22"/>
        </w:rPr>
        <w:t>Infrastructure</w:t>
      </w:r>
      <w:r>
        <w:rPr>
          <w:rFonts w:ascii="Calibri" w:hAnsi="Calibri"/>
          <w:b w:val="0"/>
          <w:color w:val="1A2010"/>
          <w:sz w:val="22"/>
        </w:rPr>
        <w:t xml:space="preserve">  </w:t>
      </w:r>
      <w:r>
        <w:rPr>
          <w:rFonts w:ascii="Calibri" w:hAnsi="Calibri"/>
          <w:b/>
          <w:color w:val="B8860B"/>
          <w:sz w:val="16"/>
        </w:rPr>
        <w:t xml:space="preserve"> DEVELOPING </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Ecovyst presents a mixed infrastructure profile with strong revenue growth (34% YoY) and reasonable forward P/E (18.1x) offset by weak profitability and modest balance sheet metrics [6]. D/E of 71.6% is near the 70% target, but ROE of just 1.0% reflects barely positive returns on equity, and trailing profit margin of negative 9.8% indicates the company is not yet consistently profitable [6]. Free cash flow of $103M is a positive sign, suggesting the path to profitability is ahead of GAAP results. Revenue of $724M with 2026 guidance of $860-940M shows accelerating growth driven by refinery services demand. The 3-year revenue CAGR of negative 4.1% reflects the impact of the silica catalyst divestiture rather than organic decline [1]. Liquidity floor cleared at $28.8M daily traded value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FINITE VS INFINITE GAME — SINEK (25%)</w:t>
            </w:r>
          </w:p>
        </w:tc>
      </w:tr>
    </w:tbl>
    <w:p>
      <w:pPr>
        <w:spacing w:after="40"/>
      </w:pPr>
      <w:r>
        <w:rPr>
          <w:rFonts w:ascii="Calibri" w:hAnsi="Calibri"/>
          <w:b w:val="0"/>
          <w:color w:val="6E8450"/>
          <w:sz w:val="22"/>
        </w:rPr>
        <w:t xml:space="preserve">Mindset: </w:t>
      </w:r>
      <w:r>
        <w:rPr>
          <w:rFonts w:ascii="Calibri" w:hAnsi="Calibri"/>
          <w:b/>
          <w:color w:val="B8860B"/>
          <w:sz w:val="22"/>
        </w:rPr>
        <w:t>MIXED</w:t>
      </w:r>
      <w:r>
        <w:rPr>
          <w:rFonts w:ascii="Calibri" w:hAnsi="Calibri"/>
          <w:b w:val="0"/>
          <w:color w:val="6E8450"/>
          <w:sz w:val="22"/>
        </w:rPr>
        <w:t xml:space="preserve">      Overall: </w:t>
      </w:r>
      <w:r>
        <w:rPr>
          <w:rFonts w:ascii="Calibri" w:hAnsi="Calibri"/>
          <w:b/>
          <w:color w:val="B8860B"/>
          <w:sz w:val="28"/>
        </w:rPr>
        <w:t>5</w:t>
      </w:r>
      <w:r>
        <w:rPr>
          <w:rFonts w:ascii="Calibri" w:hAnsi="Calibri"/>
          <w:b w:val="0"/>
          <w:color w:val="9DAF88"/>
          <w:sz w:val="18"/>
        </w:rPr>
        <w:t xml:space="preserve"> /10</w:t>
      </w:r>
    </w:p>
    <w:p>
      <w:pPr>
        <w:spacing w:after="120"/>
      </w:pPr>
      <w:r>
        <w:rPr>
          <w:rFonts w:ascii="Calibri" w:hAnsi="Calibri"/>
          <w:b w:val="0"/>
          <w:color w:val="3A4A28"/>
          <w:sz w:val="18"/>
        </w:rPr>
        <w:t>Ecovyst shows some infinite game thinking through its sustainability rebrand, long operational heritage (founded 1831), and patient investment in environmental performance. However, Glassdoor reviews revealing constantly changing leadership, poor communication, and low culture scores undermine the trusting teams foundation that Sinek considers essential. The company's cause is more pragmatic than inspirational.</w:t>
      </w:r>
    </w:p>
    <w:p>
      <w:pPr>
        <w:spacing w:before="200" w:after="40"/>
      </w:pPr>
      <w:r>
        <w:rPr>
          <w:rFonts w:ascii="Calibri" w:hAnsi="Calibri"/>
          <w:b/>
          <w:color w:val="1A2010"/>
          <w:sz w:val="22"/>
        </w:rPr>
        <w:t>Just Cause</w:t>
      </w:r>
    </w:p>
    <w:p>
      <w:pPr>
        <w:spacing w:before="0" w:after="40"/>
      </w:pPr>
      <w:r>
        <w:rPr>
          <w:rFonts w:ascii="Calibri" w:hAnsi="Calibri"/>
          <w:b/>
          <w:color w:val="B8860B"/>
          <w:sz w:val="28"/>
        </w:rPr>
        <w:t>4</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2205"/>
            <w:shd w:fill="B8860B" w:val="clear"/>
          </w:tcPr>
          <w:p>
            <w:pPr>
              <w:spacing w:before="0" w:after="0"/>
            </w:pPr>
            <w:r>
              <w:rPr>
                <w:rFonts w:ascii="Calibri" w:hAnsi="Calibri"/>
                <w:b w:val="0"/>
                <w:color w:val="1A2010"/>
                <w:sz w:val="4"/>
              </w:rPr>
            </w:r>
          </w:p>
        </w:tc>
        <w:tc>
          <w:tcPr>
            <w:tcW w:type="dxa" w:w="3307"/>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Ecovyst's rebranding around sustainable chemistry and eco-friendly solutions articulates a purpose beyond pure profit, but the cause feels more like strategic positioning than a deeply held conviction [3]. The company's 195-year history (founded 1831) provides longevity but the sustainability focus is recent (post-2021 rebrand). The cause is genuine but has not been tested through crisis or leadership change [1 pt].</w:t>
      </w:r>
    </w:p>
    <w:p>
      <w:pPr>
        <w:spacing w:before="200" w:after="40"/>
      </w:pPr>
      <w:r>
        <w:rPr>
          <w:rFonts w:ascii="Calibri" w:hAnsi="Calibri"/>
          <w:b/>
          <w:color w:val="1A2010"/>
          <w:sz w:val="22"/>
        </w:rPr>
        <w:t>Trusting Teams</w:t>
      </w:r>
    </w:p>
    <w:p>
      <w:pPr>
        <w:spacing w:before="0" w:after="40"/>
      </w:pPr>
      <w:r>
        <w:rPr>
          <w:rFonts w:ascii="Calibri" w:hAnsi="Calibri"/>
          <w:b/>
          <w:color w:val="DC2626"/>
          <w:sz w:val="28"/>
        </w:rPr>
        <w:t>2</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102"/>
            <w:shd w:fill="DC2626" w:val="clear"/>
          </w:tcPr>
          <w:p>
            <w:pPr>
              <w:spacing w:before="0" w:after="0"/>
            </w:pPr>
            <w:r>
              <w:rPr>
                <w:rFonts w:ascii="Calibri" w:hAnsi="Calibri"/>
                <w:b w:val="0"/>
                <w:color w:val="1A2010"/>
                <w:sz w:val="4"/>
              </w:rPr>
            </w:r>
          </w:p>
        </w:tc>
        <w:tc>
          <w:tcPr>
            <w:tcW w:type="dxa" w:w="4409"/>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Glassdoor data reveals concerning trust issues — employees report constantly changing senior leadership, poor communication, lack of transparency, and unclear goals [2]. Culture and values scored 2.6/5 and work-life balance 2.7/5, both well below average. With only 29 reviews and a 3.2/5 overall rating, the small employee base (617) and negative sentiment suggest a low-trust environment that Sinek would flag as a fundamental weakness [0 pts].</w:t>
      </w:r>
    </w:p>
    <w:p>
      <w:pPr>
        <w:spacing w:before="200" w:after="40"/>
      </w:pPr>
      <w:r>
        <w:rPr>
          <w:rFonts w:ascii="Calibri" w:hAnsi="Calibri"/>
          <w:b/>
          <w:color w:val="1A2010"/>
          <w:sz w:val="22"/>
        </w:rPr>
        <w:t>Worthy Rivals</w:t>
      </w:r>
    </w:p>
    <w:p>
      <w:pPr>
        <w:spacing w:before="0" w:after="40"/>
      </w:pPr>
      <w:r>
        <w:rPr>
          <w:rFonts w:ascii="Calibri" w:hAnsi="Calibri"/>
          <w:b/>
          <w:color w:val="DC2626"/>
          <w:sz w:val="28"/>
        </w:rPr>
        <w:t>3</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1654"/>
            <w:shd w:fill="DC2626" w:val="clear"/>
          </w:tcPr>
          <w:p>
            <w:pPr>
              <w:spacing w:before="0" w:after="0"/>
            </w:pPr>
            <w:r>
              <w:rPr>
                <w:rFonts w:ascii="Calibri" w:hAnsi="Calibri"/>
                <w:b w:val="0"/>
                <w:color w:val="1A2010"/>
                <w:sz w:val="4"/>
              </w:rPr>
            </w:r>
          </w:p>
        </w:tc>
        <w:tc>
          <w:tcPr>
            <w:tcW w:type="dxa" w:w="3858"/>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No evidence was found of Ecovyst explicitly acknowledging competitors' strengths or using rivalry to improve. The company's competitive narrative focuses on its own sustainability credentials and service capabilities rather than learning from rivals in the specialty chemicals space [0 pts].</w:t>
      </w:r>
    </w:p>
    <w:p>
      <w:pPr>
        <w:spacing w:before="200" w:after="40"/>
      </w:pPr>
      <w:r>
        <w:rPr>
          <w:rFonts w:ascii="Calibri" w:hAnsi="Calibri"/>
          <w:b/>
          <w:color w:val="1A2010"/>
          <w:sz w:val="22"/>
        </w:rPr>
        <w:t>Existential Flexibility</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2021 divestiture of the silica catalyst business and rebrand from PQ Group Holdings to Ecovyst represents meaningful strategic flexibility — the company chose to simplify around its strongest business (Ecoservices) rather than maintaining a diversified conglomerate structure [1]. This was an incremental transformation rather than a dramatic reinvention, but it demonstrates willingness to reshape the company's identity [1 pt].</w:t>
      </w:r>
    </w:p>
    <w:p>
      <w:pPr>
        <w:spacing w:before="200" w:after="40"/>
      </w:pPr>
      <w:r>
        <w:rPr>
          <w:rFonts w:ascii="Calibri" w:hAnsi="Calibri"/>
          <w:b/>
          <w:color w:val="1A2010"/>
          <w:sz w:val="22"/>
        </w:rPr>
        <w:t>Courage To Lead</w:t>
      </w:r>
    </w:p>
    <w:p>
      <w:pPr>
        <w:spacing w:before="0" w:after="40"/>
      </w:pPr>
      <w:r>
        <w:rPr>
          <w:rFonts w:ascii="Calibri" w:hAnsi="Calibri"/>
          <w:b/>
          <w:color w:val="B8860B"/>
          <w:sz w:val="28"/>
        </w:rPr>
        <w:t>6</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3307"/>
            <w:shd w:fill="B8860B" w:val="clear"/>
          </w:tcPr>
          <w:p>
            <w:pPr>
              <w:spacing w:before="0" w:after="0"/>
            </w:pPr>
            <w:r>
              <w:rPr>
                <w:rFonts w:ascii="Calibri" w:hAnsi="Calibri"/>
                <w:b w:val="0"/>
                <w:color w:val="1A2010"/>
                <w:sz w:val="4"/>
              </w:rPr>
            </w:r>
          </w:p>
        </w:tc>
        <w:tc>
          <w:tcPr>
            <w:tcW w:type="dxa" w:w="2205"/>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The decision to divest a significant business line (silica catalysts) and rebrand entirely around sustainability-focused chemical services required conviction, particularly when it temporarily reduced the revenue base [1]. Maintaining zero Level 3 environmental releases since 2016 while investing in emissions reduction demonstrates principled operational discipline, even when it's costly [3][1 pt].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INVESTMENT THESIS</w:t>
            </w:r>
          </w:p>
        </w:tc>
      </w:tr>
    </w:tbl>
    <w:p>
      <w:pPr>
        <w:spacing w:after="120"/>
      </w:pPr>
      <w:r>
        <w:rPr>
          <w:rFonts w:ascii="Calibri" w:hAnsi="Calibri"/>
          <w:b w:val="0"/>
          <w:color w:val="3A4A28"/>
          <w:sz w:val="20"/>
        </w:rPr>
        <w:t>Ecovyst is positioned for a meaningful earnings inflection in 2026, with revenue guidance of $860-940M representing 19-30% growth from 2025's $724M, and EPS guidance of $0.45-0.65 compared to a trailing EPS of just $0.05 [1][6]. The company beat Q4 2025 estimates by $0.07 ($0.28 vs $0.21 consensus), demonstrating operating leverage as regeneration services demand accelerates [1]. Free cash flow of $103M against a $1.5B market cap (6.8% FCF yield) suggests the stock is undervalued if earnings guidance is achieved. The Ecoservices business benefits from critical infrastructure positioning — refineries must regenerate sulfuric acid for clean fuel alkylation — creating recurring, essential-service revenue with high switching costs [3].</w:t>
      </w:r>
    </w:p>
    <w:p>
      <w:pPr>
        <w:spacing w:after="120"/>
      </w:pPr>
      <w:r>
        <w:rPr>
          <w:rFonts w:ascii="Calibri" w:hAnsi="Calibri"/>
          <w:b w:val="0"/>
          <w:color w:val="3A4A28"/>
          <w:sz w:val="20"/>
        </w:rPr>
        <w:t>The bear case focuses on the company's track record of inconsistent profitability and cultural challenges. Trailing profit margin is negative 9.8%, ROE is a near-zero 1.0%, and the 3-year revenue CAGR of negative 4.1% reflects the post-divestiture contraction [6]. D/E of 71.6% with $432M debt against $199M cash leaves limited balance sheet cushion if the earnings inflection fails to materialize. Glassdoor ratings of 3.2/5 with employees citing poor leadership communication and high executive turnover create execution risk [2]. The refinery services business is tied to fossil fuel processing — as clean fuel regulations evolve and refineries potentially close over the long term, Ecovyst's core market could face structural decline. P/E of 275x trailing earnings (despite 18x forward) highlights how dependent the investment thesis is on forward earnings delivery rather than current fundamentals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16A34A"/>
            </w:tcBorders>
          </w:tcPr>
          <w:p>
            <w:pPr>
              <w:spacing w:before="240" w:after="80"/>
            </w:pPr>
            <w:r>
              <w:rPr>
                <w:rFonts w:ascii="Calibri" w:hAnsi="Calibri"/>
                <w:b/>
                <w:color w:val="6E8450"/>
                <w:sz w:val="17"/>
              </w:rPr>
              <w:t>KEY CATALYSTS</w:t>
            </w:r>
          </w:p>
        </w:tc>
      </w:tr>
    </w:tbl>
    <w:p>
      <w:pPr>
        <w:spacing w:before="40" w:after="40"/>
        <w:ind w:left="283"/>
      </w:pPr>
      <w:r>
        <w:rPr>
          <w:rFonts w:ascii="Calibri" w:hAnsi="Calibri"/>
          <w:b/>
          <w:color w:val="4A6B25"/>
          <w:sz w:val="20"/>
        </w:rPr>
        <w:t xml:space="preserve">1. </w:t>
      </w:r>
      <w:r>
        <w:rPr>
          <w:rFonts w:ascii="Calibri" w:hAnsi="Calibri"/>
          <w:b w:val="0"/>
          <w:color w:val="3A4A28"/>
          <w:sz w:val="20"/>
        </w:rPr>
        <w:t>FY 2026 revenue guidance of $860-940M and EPS of $0.45-0.65 represents a transformative earnings inflection from trailing EPS of $0.05, driven by refinery utilization recovery and regeneration demand [1]</w:t>
      </w:r>
    </w:p>
    <w:p>
      <w:pPr>
        <w:spacing w:before="40" w:after="40"/>
        <w:ind w:left="283"/>
      </w:pPr>
      <w:r>
        <w:rPr>
          <w:rFonts w:ascii="Calibri" w:hAnsi="Calibri"/>
          <w:b/>
          <w:color w:val="4A6B25"/>
          <w:sz w:val="20"/>
        </w:rPr>
        <w:t xml:space="preserve">2. </w:t>
      </w:r>
      <w:r>
        <w:rPr>
          <w:rFonts w:ascii="Calibri" w:hAnsi="Calibri"/>
          <w:b w:val="0"/>
          <w:color w:val="3A4A28"/>
          <w:sz w:val="20"/>
        </w:rPr>
        <w:t>Regeneration services expansion into mining and water treatment markets provides revenue diversification beyond refinery-dependent sulfuric acid [1]</w:t>
      </w:r>
    </w:p>
    <w:p>
      <w:pPr>
        <w:spacing w:before="40" w:after="40"/>
        <w:ind w:left="283"/>
      </w:pPr>
      <w:r>
        <w:rPr>
          <w:rFonts w:ascii="Calibri" w:hAnsi="Calibri"/>
          <w:b/>
          <w:color w:val="4A6B25"/>
          <w:sz w:val="20"/>
        </w:rPr>
        <w:t xml:space="preserve">3. </w:t>
      </w:r>
      <w:r>
        <w:rPr>
          <w:rFonts w:ascii="Calibri" w:hAnsi="Calibri"/>
          <w:b w:val="0"/>
          <w:color w:val="3A4A28"/>
          <w:sz w:val="20"/>
        </w:rPr>
        <w:t>Free cash flow generation of $103M enables debt reduction and potential shareholder returns as GAAP profitability normalizes [6]</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DC2626"/>
            </w:tcBorders>
          </w:tcPr>
          <w:p>
            <w:pPr>
              <w:spacing w:before="240" w:after="80"/>
            </w:pPr>
            <w:r>
              <w:rPr>
                <w:rFonts w:ascii="Calibri" w:hAnsi="Calibri"/>
                <w:b/>
                <w:color w:val="6E8450"/>
                <w:sz w:val="17"/>
              </w:rPr>
              <w:t>KEY RISKS</w:t>
            </w:r>
          </w:p>
        </w:tc>
      </w:tr>
    </w:tbl>
    <w:p>
      <w:pPr>
        <w:spacing w:before="40" w:after="40"/>
        <w:ind w:left="283"/>
      </w:pPr>
      <w:r>
        <w:rPr>
          <w:rFonts w:ascii="Calibri" w:hAnsi="Calibri"/>
          <w:b/>
          <w:color w:val="4A6B25"/>
          <w:sz w:val="20"/>
        </w:rPr>
        <w:t xml:space="preserve">1. </w:t>
      </w:r>
      <w:r>
        <w:rPr>
          <w:rFonts w:ascii="Calibri" w:hAnsi="Calibri"/>
          <w:b w:val="0"/>
          <w:color w:val="3A4A28"/>
          <w:sz w:val="20"/>
        </w:rPr>
        <w:t>Earnings guidance miss risk — the stock trades at 275x trailing P/E, making it entirely dependent on forward earnings delivery; any shortfall would sharply reprice the stock [6]</w:t>
      </w:r>
    </w:p>
    <w:p>
      <w:pPr>
        <w:spacing w:before="40" w:after="40"/>
        <w:ind w:left="283"/>
      </w:pPr>
      <w:r>
        <w:rPr>
          <w:rFonts w:ascii="Calibri" w:hAnsi="Calibri"/>
          <w:b/>
          <w:color w:val="4A6B25"/>
          <w:sz w:val="20"/>
        </w:rPr>
        <w:t xml:space="preserve">2. </w:t>
      </w:r>
      <w:r>
        <w:rPr>
          <w:rFonts w:ascii="Calibri" w:hAnsi="Calibri"/>
          <w:b w:val="0"/>
          <w:color w:val="3A4A28"/>
          <w:sz w:val="20"/>
        </w:rPr>
        <w:t>Long-term refinery structural decline — as energy transition reduces crude oil refining volumes, the sulfuric acid regeneration business could face secular demand headwinds [1]</w:t>
      </w:r>
    </w:p>
    <w:p>
      <w:pPr>
        <w:spacing w:before="40" w:after="40"/>
        <w:ind w:left="283"/>
      </w:pPr>
      <w:r>
        <w:rPr>
          <w:rFonts w:ascii="Calibri" w:hAnsi="Calibri"/>
          <w:b/>
          <w:color w:val="4A6B25"/>
          <w:sz w:val="20"/>
        </w:rPr>
        <w:t xml:space="preserve">3. </w:t>
      </w:r>
      <w:r>
        <w:rPr>
          <w:rFonts w:ascii="Calibri" w:hAnsi="Calibri"/>
          <w:b w:val="0"/>
          <w:color w:val="3A4A28"/>
          <w:sz w:val="20"/>
        </w:rPr>
        <w:t>Cultural and leadership instability — Glassdoor reviews citing constantly changing leadership and poor communication create execution risk during the critical growth phase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AI RESILIENCE (25%)</w:t>
            </w:r>
          </w:p>
        </w:tc>
      </w:tr>
    </w:tbl>
    <w:p>
      <w:pPr>
        <w:spacing w:before="200" w:after="40"/>
      </w:pPr>
      <w:r>
        <w:rPr>
          <w:rFonts w:ascii="Calibri" w:hAnsi="Calibri"/>
          <w:b/>
          <w:color w:val="1A2010"/>
          <w:sz w:val="22"/>
        </w:rPr>
        <w:t>AI Resilience</w:t>
      </w:r>
      <w:r>
        <w:rPr>
          <w:rFonts w:ascii="Calibri" w:hAnsi="Calibri"/>
          <w:b w:val="0"/>
          <w:color w:val="1A2010"/>
          <w:sz w:val="22"/>
        </w:rPr>
        <w:t xml:space="preserve">  </w:t>
      </w:r>
      <w:r>
        <w:rPr>
          <w:rFonts w:ascii="Calibri" w:hAnsi="Calibri"/>
          <w:b/>
          <w:color w:val="16A34A"/>
          <w:sz w:val="16"/>
        </w:rPr>
        <w:t xml:space="preserve"> LOW RISK </w:t>
      </w:r>
    </w:p>
    <w:p>
      <w:pPr>
        <w:spacing w:before="0" w:after="40"/>
      </w:pPr>
      <w:r>
        <w:rPr>
          <w:rFonts w:ascii="Calibri" w:hAnsi="Calibri"/>
          <w:b/>
          <w:color w:val="16A34A"/>
          <w:sz w:val="28"/>
        </w:rPr>
        <w:t>8</w:t>
      </w:r>
      <w:r>
        <w:rPr>
          <w:rFonts w:ascii="Calibri" w:hAnsi="Calibri"/>
          <w:b w:val="0"/>
          <w:color w:val="9DAF88"/>
          <w:sz w:val="18"/>
        </w:rPr>
        <w:t xml:space="preserve"> /10</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3500" w:type="dxa"/>
      </w:tblPr>
      <w:tblGrid>
        <w:gridCol w:w="5400"/>
        <w:gridCol w:w="5400"/>
      </w:tblGrid>
      <w:tr>
        <w:trPr>
          <w:trHeight w:val="170"/>
        </w:trPr>
        <w:tc>
          <w:tcPr>
            <w:tcW w:type="dxa" w:w="4409"/>
            <w:shd w:fill="16A34A" w:val="clear"/>
          </w:tcPr>
          <w:p>
            <w:pPr>
              <w:spacing w:before="0" w:after="0"/>
            </w:pPr>
            <w:r>
              <w:rPr>
                <w:rFonts w:ascii="Calibri" w:hAnsi="Calibri"/>
                <w:b w:val="0"/>
                <w:color w:val="1A2010"/>
                <w:sz w:val="4"/>
              </w:rPr>
            </w:r>
          </w:p>
        </w:tc>
        <w:tc>
          <w:tcPr>
            <w:tcW w:type="dxa" w:w="1102"/>
            <w:shd w:fill="EDEFE8" w:val="clear"/>
          </w:tcPr>
          <w:p>
            <w:pPr>
              <w:spacing w:before="0" w:after="0"/>
            </w:pPr>
            <w:r>
              <w:rPr>
                <w:rFonts w:ascii="Calibri" w:hAnsi="Calibri"/>
                <w:b w:val="0"/>
                <w:color w:val="1A2010"/>
                <w:sz w:val="4"/>
              </w:rPr>
            </w:r>
          </w:p>
        </w:tc>
      </w:tr>
    </w:tbl>
    <w:p>
      <w:pPr>
        <w:spacing w:before="60" w:after="120"/>
      </w:pPr>
      <w:r>
        <w:rPr>
          <w:rFonts w:ascii="Calibri" w:hAnsi="Calibri"/>
          <w:b w:val="0"/>
          <w:color w:val="3A4A28"/>
          <w:sz w:val="18"/>
        </w:rPr>
        <w:t>AI Risk Protection (8/9): Ecovyst's core business — manufacturing and regenerating sulfuric acid for refinery alkylation, mining, and water treatment — is entirely physical and cannot be substituted by AI [1]. Sulfuric acid is the most-produced industrial chemical in the world, essential for refining gasoline (alkylation produces high-octane clean fuel), extracting metals in mining, and treating water. These are physical-world chemical processes that require actual acid, not software. Refineries cannot replace acid regeneration with AI. Additionally, environmental regulations around hazardous chemical handling create deep regulatory moats that AI does not bypass. AI data center growth may even increase electricity demand, supporting refinery utilization and acid consumption. AI Opportunity (0/1): No evidence of AI-generated revenue; Ecovyst is a traditional chemical manufacturing and services company [2].</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FAITH ALIGNMENT — INSPIRE INSIGHT</w:t>
            </w:r>
          </w:p>
        </w:tc>
      </w:tr>
    </w:tbl>
    <w:p>
      <w:pPr>
        <w:spacing w:after="40"/>
      </w:pPr>
      <w:r>
        <w:rPr>
          <w:rFonts w:ascii="Calibri" w:hAnsi="Calibri"/>
          <w:b w:val="0"/>
          <w:color w:val="6E8450"/>
          <w:sz w:val="22"/>
        </w:rPr>
        <w:t xml:space="preserve">Inspire Impact Score:  </w:t>
      </w:r>
      <w:r>
        <w:rPr>
          <w:rFonts w:ascii="Calibri" w:hAnsi="Calibri"/>
          <w:b/>
          <w:color w:val="16A34A"/>
          <w:sz w:val="28"/>
        </w:rPr>
        <w:t>62</w:t>
      </w:r>
      <w:r>
        <w:rPr>
          <w:rFonts w:ascii="Calibri" w:hAnsi="Calibri"/>
          <w:b/>
          <w:color w:val="B8860B"/>
          <w:sz w:val="20"/>
        </w:rPr>
        <w:t xml:space="preserve">    ALIGNED</w:t>
      </w:r>
    </w:p>
    <w:p>
      <w:pPr>
        <w:spacing w:before="80" w:after="40"/>
      </w:pPr>
      <w:r>
        <w:rPr>
          <w:rFonts w:ascii="Calibri" w:hAnsi="Calibri"/>
          <w:b/>
          <w:color w:val="6E8450"/>
          <w:sz w:val="18"/>
        </w:rPr>
        <w:t xml:space="preserve">Positive: </w:t>
      </w:r>
      <w:r>
        <w:rPr>
          <w:rFonts w:ascii="Calibri" w:hAnsi="Calibri"/>
          <w:b/>
          <w:color w:val="16A34A"/>
          <w:sz w:val="17"/>
        </w:rPr>
        <w:t xml:space="preserve"> Air Quality </w:t>
      </w:r>
      <w:r>
        <w:rPr>
          <w:rFonts w:ascii="Calibri" w:hAnsi="Calibri"/>
          <w:b w:val="0"/>
          <w:color w:val="9DAF88"/>
          <w:sz w:val="17"/>
        </w:rPr>
        <w:t xml:space="preserve">  ·  </w:t>
      </w:r>
      <w:r>
        <w:rPr>
          <w:rFonts w:ascii="Calibri" w:hAnsi="Calibri"/>
          <w:b/>
          <w:color w:val="16A34A"/>
          <w:sz w:val="17"/>
        </w:rPr>
        <w:t xml:space="preserve"> Employee Wellbeing </w:t>
      </w:r>
      <w:r>
        <w:rPr>
          <w:rFonts w:ascii="Calibri" w:hAnsi="Calibri"/>
          <w:b w:val="0"/>
          <w:color w:val="9DAF88"/>
          <w:sz w:val="17"/>
        </w:rPr>
        <w:t xml:space="preserve">  ·  </w:t>
      </w:r>
      <w:r>
        <w:rPr>
          <w:rFonts w:ascii="Calibri" w:hAnsi="Calibri"/>
          <w:b/>
          <w:color w:val="16A34A"/>
          <w:sz w:val="17"/>
        </w:rPr>
        <w:t xml:space="preserve"> Energy Management </w:t>
      </w:r>
      <w:r>
        <w:rPr>
          <w:rFonts w:ascii="Calibri" w:hAnsi="Calibri"/>
          <w:b w:val="0"/>
          <w:color w:val="9DAF88"/>
          <w:sz w:val="17"/>
        </w:rPr>
        <w:t xml:space="preserve">  ·  </w:t>
      </w:r>
      <w:r>
        <w:rPr>
          <w:rFonts w:ascii="Calibri" w:hAnsi="Calibri"/>
          <w:b/>
          <w:color w:val="16A34A"/>
          <w:sz w:val="17"/>
        </w:rPr>
        <w:t xml:space="preserve"> Ethical Labor Practices </w:t>
      </w:r>
      <w:r>
        <w:rPr>
          <w:rFonts w:ascii="Calibri" w:hAnsi="Calibri"/>
          <w:b w:val="0"/>
          <w:color w:val="9DAF88"/>
          <w:sz w:val="17"/>
        </w:rPr>
        <w:t xml:space="preserve">  ·  </w:t>
      </w:r>
      <w:r>
        <w:rPr>
          <w:rFonts w:ascii="Calibri" w:hAnsi="Calibri"/>
          <w:b/>
          <w:color w:val="16A34A"/>
          <w:sz w:val="17"/>
        </w:rPr>
        <w:t xml:space="preserve"> Ethical Supply Chain Management </w:t>
      </w:r>
      <w:r>
        <w:rPr>
          <w:rFonts w:ascii="Calibri" w:hAnsi="Calibri"/>
          <w:b w:val="0"/>
          <w:color w:val="9DAF88"/>
          <w:sz w:val="17"/>
        </w:rPr>
        <w:t xml:space="preserve">  ·  </w:t>
      </w:r>
      <w:r>
        <w:rPr>
          <w:rFonts w:ascii="Calibri" w:hAnsi="Calibri"/>
          <w:b/>
          <w:color w:val="16A34A"/>
          <w:sz w:val="17"/>
        </w:rPr>
        <w:t xml:space="preserve"> GHG Emissions </w:t>
      </w:r>
      <w:r>
        <w:rPr>
          <w:rFonts w:ascii="Calibri" w:hAnsi="Calibri"/>
          <w:b w:val="0"/>
          <w:color w:val="9DAF88"/>
          <w:sz w:val="17"/>
        </w:rPr>
        <w:t xml:space="preserve">  ·  </w:t>
      </w:r>
      <w:r>
        <w:rPr>
          <w:rFonts w:ascii="Calibri" w:hAnsi="Calibri"/>
          <w:b/>
          <w:color w:val="16A34A"/>
          <w:sz w:val="17"/>
        </w:rPr>
        <w:t xml:space="preserve"> Hiring Ethics </w:t>
      </w:r>
      <w:r>
        <w:rPr>
          <w:rFonts w:ascii="Calibri" w:hAnsi="Calibri"/>
          <w:b w:val="0"/>
          <w:color w:val="9DAF88"/>
          <w:sz w:val="17"/>
        </w:rPr>
        <w:t xml:space="preserve">  ·  </w:t>
      </w:r>
      <w:r>
        <w:rPr>
          <w:rFonts w:ascii="Calibri" w:hAnsi="Calibri"/>
          <w:b/>
          <w:color w:val="16A34A"/>
          <w:sz w:val="17"/>
        </w:rPr>
        <w:t xml:space="preserve"> Materials Efficiency </w:t>
      </w:r>
      <w:r>
        <w:rPr>
          <w:rFonts w:ascii="Calibri" w:hAnsi="Calibri"/>
          <w:b w:val="0"/>
          <w:color w:val="9DAF88"/>
          <w:sz w:val="17"/>
        </w:rPr>
        <w:t xml:space="preserve">  ·  </w:t>
      </w:r>
      <w:r>
        <w:rPr>
          <w:rFonts w:ascii="Calibri" w:hAnsi="Calibri"/>
          <w:b/>
          <w:color w:val="16A34A"/>
          <w:sz w:val="17"/>
        </w:rPr>
        <w:t xml:space="preserve"> Product Sustainability </w:t>
      </w:r>
      <w:r>
        <w:rPr>
          <w:rFonts w:ascii="Calibri" w:hAnsi="Calibri"/>
          <w:b w:val="0"/>
          <w:color w:val="9DAF88"/>
          <w:sz w:val="17"/>
        </w:rPr>
        <w:t xml:space="preserve">  ·  </w:t>
      </w:r>
      <w:r>
        <w:rPr>
          <w:rFonts w:ascii="Calibri" w:hAnsi="Calibri"/>
          <w:b/>
          <w:color w:val="16A34A"/>
          <w:sz w:val="17"/>
        </w:rPr>
        <w:t xml:space="preserve"> Waste and Hazmat Management </w:t>
      </w:r>
    </w:p>
    <w:p>
      <w:pPr>
        <w:spacing w:before="120"/>
      </w:pPr>
      <w:r>
        <w:rPr>
          <w:rFonts w:ascii="Calibri" w:hAnsi="Calibri"/>
          <w:b w:val="0"/>
          <w:color w:val="9DAF88"/>
          <w:sz w:val="15"/>
        </w:rPr>
        <w:t>Source: Inspire Insight</w:t>
      </w:r>
    </w:p>
    <w:tbl>
      <w:tblPr>
        <w:jc w:val="left"/>
        <w:tblLook w:firstColumn="1" w:firstRow="1" w:lastColumn="0" w:lastRow="0" w:noHBand="0" w:noVBand="1" w:val="04A0"/>
        <w:tblBorders>
          <w:top w:val="none" w:sz="0" w:space="0" w:color="auto"/>
          <w:left w:val="none" w:sz="0" w:space="0" w:color="auto"/>
          <w:bottom w:val="none" w:sz="0" w:space="0" w:color="auto"/>
          <w:right w:val="none" w:sz="0" w:space="0" w:color="auto"/>
          <w:insideH w:val="none" w:sz="0" w:space="0" w:color="auto"/>
          <w:insideV w:val="none" w:sz="0" w:space="0" w:color="auto"/>
        </w:tblBorders>
        <w:tblW w:w="5000" w:type="pct"/>
      </w:tblPr>
      <w:tblGrid>
        <w:gridCol w:w="10800"/>
      </w:tblGrid>
      <w:tr>
        <w:tc>
          <w:tcPr>
            <w:tcW w:type="dxa" w:w="10800"/>
            <w:tcBorders>
              <w:bottom w:val="single" w:sz="8" w:space="0" w:color="B8860B"/>
            </w:tcBorders>
          </w:tcPr>
          <w:p>
            <w:pPr>
              <w:spacing w:before="240" w:after="80"/>
            </w:pPr>
            <w:r>
              <w:rPr>
                <w:rFonts w:ascii="Calibri" w:hAnsi="Calibri"/>
                <w:b/>
                <w:color w:val="6E8450"/>
                <w:sz w:val="17"/>
              </w:rPr>
              <w:t>RESOURCES</w:t>
            </w:r>
          </w:p>
        </w:tc>
      </w:tr>
    </w:tbl>
    <w:p>
      <w:pPr>
        <w:spacing w:before="20" w:after="20"/>
        <w:ind w:left="170"/>
      </w:pPr>
      <w:r>
        <w:rPr>
          <w:rFonts w:ascii="Calibri" w:hAnsi="Calibri"/>
          <w:b/>
          <w:color w:val="4A6B25"/>
          <w:sz w:val="15"/>
        </w:rPr>
        <w:t xml:space="preserve">1. </w:t>
      </w:r>
      <w:r>
        <w:rPr>
          <w:rFonts w:ascii="Calibri" w:hAnsi="Calibri"/>
          <w:b w:val="0"/>
          <w:color w:val="3A4A28"/>
          <w:sz w:val="17"/>
        </w:rPr>
        <w:t>Ecovyst Q4 2025 Earnings Release — $0.28 EPS (beat by $0.07), 33.9% YoY revenue growth, FY 2026 guidance $860-940M revenue and $0.45-0.65 EPS</w:t>
      </w:r>
    </w:p>
    <w:p>
      <w:pPr>
        <w:spacing w:before="20" w:after="20"/>
        <w:ind w:left="170"/>
      </w:pPr>
      <w:r>
        <w:rPr>
          <w:rFonts w:ascii="Calibri" w:hAnsi="Calibri"/>
          <w:b/>
          <w:color w:val="4A6B25"/>
          <w:sz w:val="15"/>
        </w:rPr>
        <w:t xml:space="preserve">2. </w:t>
      </w:r>
      <w:r>
        <w:rPr>
          <w:rFonts w:ascii="Calibri" w:hAnsi="Calibri"/>
          <w:b w:val="0"/>
          <w:color w:val="3A4A28"/>
          <w:sz w:val="17"/>
        </w:rPr>
        <w:t>Glassdoor Reviews (3.2/5, 29 reviews) — culture 2.6/5, leadership turnover concerns; CEO Kurt Bitting 15-year Ecoservices veteran</w:t>
      </w:r>
    </w:p>
    <w:p>
      <w:pPr>
        <w:spacing w:before="20" w:after="20"/>
        <w:ind w:left="170"/>
      </w:pPr>
      <w:r>
        <w:rPr>
          <w:rFonts w:ascii="Calibri" w:hAnsi="Calibri"/>
          <w:b/>
          <w:color w:val="4A6B25"/>
          <w:sz w:val="15"/>
        </w:rPr>
        <w:t xml:space="preserve">3. </w:t>
      </w:r>
      <w:r>
        <w:rPr>
          <w:rFonts w:ascii="Calibri" w:hAnsi="Calibri"/>
          <w:b w:val="0"/>
          <w:color w:val="3A4A28"/>
          <w:sz w:val="17"/>
        </w:rPr>
        <w:t>Ecovyst Sustainability Report 2024 — zero Level 3 environmental releases since 2016, CO2 reduction of 4,900 tonnes/year, GRI/SASB alignment</w:t>
      </w:r>
    </w:p>
    <w:p>
      <w:pPr>
        <w:spacing w:before="20" w:after="20"/>
        <w:ind w:left="170"/>
      </w:pPr>
      <w:r>
        <w:rPr>
          <w:rFonts w:ascii="Calibri" w:hAnsi="Calibri"/>
          <w:b/>
          <w:color w:val="4A6B25"/>
          <w:sz w:val="15"/>
        </w:rPr>
        <w:t xml:space="preserve">4. </w:t>
      </w:r>
      <w:r>
        <w:rPr>
          <w:rFonts w:ascii="Calibri" w:hAnsi="Calibri"/>
          <w:b w:val="0"/>
          <w:color w:val="3A4A28"/>
          <w:sz w:val="17"/>
        </w:rPr>
        <w:t>Simply Wall St — ECVT valuation analysis after positive 2026 revenue forecast</w:t>
      </w:r>
    </w:p>
    <w:p>
      <w:pPr>
        <w:spacing w:before="20" w:after="20"/>
        <w:ind w:left="170"/>
      </w:pPr>
      <w:r>
        <w:rPr>
          <w:rFonts w:ascii="Calibri" w:hAnsi="Calibri"/>
          <w:b/>
          <w:color w:val="4A6B25"/>
          <w:sz w:val="15"/>
        </w:rPr>
        <w:t xml:space="preserve">5. </w:t>
      </w:r>
      <w:r>
        <w:rPr>
          <w:rFonts w:ascii="Calibri" w:hAnsi="Calibri"/>
          <w:b w:val="0"/>
          <w:color w:val="3A4A28"/>
          <w:sz w:val="17"/>
        </w:rPr>
        <w:t>MarketBeat — ECVT earnings dates, consensus estimates, FY 2026 guidance update</w:t>
      </w:r>
    </w:p>
    <w:p>
      <w:pPr>
        <w:spacing w:before="20" w:after="20"/>
        <w:ind w:left="170"/>
      </w:pPr>
      <w:r>
        <w:rPr>
          <w:rFonts w:ascii="Calibri" w:hAnsi="Calibri"/>
          <w:b/>
          <w:color w:val="4A6B25"/>
          <w:sz w:val="15"/>
        </w:rPr>
        <w:t xml:space="preserve">6. </w:t>
      </w:r>
      <w:r>
        <w:rPr>
          <w:rFonts w:ascii="Calibri" w:hAnsi="Calibri"/>
          <w:b w:val="0"/>
          <w:color w:val="3A4A28"/>
          <w:sz w:val="17"/>
        </w:rPr>
        <w:t>Yahoo Finance / yfinance data for ECVT (Ecovyst), retrieved April 23, 2026</w:t>
      </w:r>
    </w:p>
    <w:p>
      <w:pPr>
        <w:spacing w:before="400"/>
        <w:jc w:val="center"/>
      </w:pPr>
      <w:r>
        <w:rPr>
          <w:rFonts w:ascii="Calibri" w:hAnsi="Calibri"/>
          <w:b w:val="0"/>
          <w:color w:val="9DAF88"/>
          <w:sz w:val="16"/>
        </w:rPr>
        <w:t>Paradiem, LLC dba Intentional Ownership (“IOWN”) is a registered investment advisor. The information provided is for educational and informational purposes only and does not constitute investment advice.</w:t>
      </w:r>
    </w:p>
    <w:sectPr w:rsidR="00FC693F" w:rsidRPr="0006063C" w:rsidSect="00034616">
      <w:pgSz w:w="12240" w:h="15840"/>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