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EC</w:t>
      </w:r>
      <w:r>
        <w:rPr>
          <w:rFonts w:ascii="Calibri" w:hAnsi="Calibri"/>
          <w:b/>
          <w:color w:val="1A2010"/>
          <w:sz w:val="40"/>
        </w:rPr>
        <w:t xml:space="preserve">  Ecopetrol S.A.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2026-04-08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Integrated · NYQ · Colombia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Ecopetrol S.A. is Colombia's largest oil and gas company, a state-controlled integrated energy producer operating across exploration, production, transportation, and refining.</w:t>
      </w:r>
    </w:p>
    <w:p>
      <w:r>
        <w:rPr>
          <w:rFonts w:ascii="Calibri" w:hAnsi="Calibri"/>
          <w:b/>
          <w:color w:val="6E8450"/>
          <w:sz w:val="18"/>
        </w:rPr>
        <w:t>https://www.ecopetrol.com.co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Revenue declined 17.2% YoY reflecting lower oil prices and production challenges. Earnings fell 60.8% YoY [1]. AI Deployment (0/2): No AI products. Market Share (1/2): Dominant in Colombian oil production but a mid-tier global producer. Pipeline (0/2): Limited new project visibility. R&amp;D Intensity (1/1): Energy transition R&amp;D investment above industry average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Energy production mission connected to Colombian national development. Community Impact (1/2): Significant social investment as state-controlled enterprise. Employee Retention (0/2): No data. Insider Buying (1/2): Government majority ownership provides alignment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Ecopetrol shows mixed financials. Forward P/E of 11.04 is attractive, profit margin of 7.5% is below target, and ROE of 11.8% approaches target [1]. D/E of 99.96% is moderate for an integrated oil company. Revenue declined 17.2% YoY. Dividend yield of 4.43% with 95.6% payout is generous but stretched. Liquidity cleared at $51.2M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Ecopetrol plays a mixed game — long-term national energy security mission but short-term pressure from government dividend demands and oil price dependence.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Shallow cause (1 pt → 4/10): Colombian energy security and development connects to national purpose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Low trust (0 pts → 2/10): State-controlled enterprise with political interference risks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(1 pt → 10/10): Acknowledges Petrobras and other national oil companies as benchmarks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(0 pts → 2/10)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 (1 pt → 6/10): Energy transition investments despite political pressure for dividends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Ecopetrol offers a 4.43% dividend yield with forward P/E of 11.04, providing value characteristics for a national oil company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Revenue declined 17.2% and earnings fell 60.8% YoY, reflecting oil price and production challenges. State control creates political risk for capital allocation and dividend sustainability at 95.6% payout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Oil price recovery supporting revenue and earnings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Energy transition investments diversifying revenue streams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Production optimization improving margins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Colombian political risk and government interference in capital allocation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Oil price dependence with 95.6% dividend payout leaving no buffer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decline of 17.2% YoY with production challenges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Oil and gas production is physical-world infrastructure immune to AI displacement. Colombian operations involve complex geology, refining, and transportation that AI cannot substitute [1]. AI Opportunity (0/1): No AI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EC (Ecopetrol), retrieved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Ecopetrol corporate filings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