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EDSA</w:t>
      </w:r>
      <w:r>
        <w:rPr>
          <w:rFonts w:ascii="Calibri" w:hAnsi="Calibri"/>
          <w:b/>
          <w:color w:val="1A2010"/>
          <w:sz w:val="40"/>
        </w:rPr>
        <w:t xml:space="preserve">  Edesa Biotech, Inc.</w:t>
      </w:r>
    </w:p>
    <w:p>
      <w:pPr>
        <w:spacing w:after="120"/>
      </w:pPr>
      <w:r>
        <w:rPr>
          <w:rFonts w:ascii="Calibri" w:hAnsi="Calibri"/>
          <w:b/>
          <w:color w:val="6E8450"/>
          <w:sz w:val="18"/>
        </w:rPr>
        <w:t>GROWTH SLEEVE · 2026-04-01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Edesa Biotech is a clinical-stage biopharmaceutical company developing host-directed therapeutics for inflammatory and immune-related diseases. Lead candidates include paridiprubart (EB05) for acute respiratory distress syndrome (Phase 3) and EB06 for vitiligo (Phase 2 planned). The company has no product revenue, is pre-commercial, and is headquartered in Markham, Canada.</w:t>
      </w:r>
    </w:p>
    <w:p>
      <w:r>
        <w:rPr>
          <w:rFonts w:ascii="Calibri" w:hAnsi="Calibri"/>
          <w:b/>
          <w:color w:val="6E8450"/>
          <w:sz w:val="18"/>
        </w:rPr>
        <w:t>17 Employees · https://www.edesabiotech.com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Edesa has advanced paridiprubart through a U.S. government-funded Phase 3 ARDS study with statistically significant mortality reduction (24% vs. 33% placebo, p&lt;0.001), and filed provisional patents for sepsis, AKI, and pneumonia applications [1]. However, no products have reached commercialization in over 10 years of operation. AI Deployment (0/2): No AI deployment or strategy evident; the company is a traditional clinical-stage biotech with no AI-related products or internal efficiency programs [2]. Market Share (0/2): Pre-commercial company with zero market share in any therapeutic category; ARDS and vitiligo markets are served by established competitors [1]. Pipeline (2/2): Specific next-gen candidates with timelines — EB06 vitiligo Phase 2 recruitment planned mid-2026 in Canada, EB07 pulmonary fibrosis IND preparation underway, and paridiprubart Phase 3 data supporting potential regulatory filing [1][2]. R&amp;D Intensity (0/1): R&amp;D spending of $3.7M is modest in absolute terms, though it represents the majority of the company's $7.9M operating expenses; however, intensity relative to biotech peers is below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Edesa's mission to 'develop and commercialize innovative drug products that address unmet medical needs for large, underserved patient populations' is clear and identifies purpose (serving underserved patients) but is not distinctive — nearly every clinical-stage biotech makes an identical claim [2]. Community Impact (0/2): No evidence of charitable programs, community investment, or foundation activity; the company has 17 employees and a $46M market cap, limiting resources for community engagement. Employee Retention (0/2): No retention or tenure data available for a 17-person company; CFO transition in April 2025 (Stephen Lemieux departed) is a minor yellow flag but normal for micro-caps [2]. Insider Buying (2/2): CEO Dr. Nijhawan purchased 30,000 shares at $2.22 ($66,600) and insiders collectively bought 73,571 shares ($184,142) over the last quarter, demonstrating meaningful personal conviction relative to the company's micro-cap size; Point72 (Steven Cohen) accumulated a 7.2% stake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Edesa is a pre-revenue clinical-stage biotech with zero product sales, negative ROE of -96.4%, zero profit margin, and a net loss of $7.2M in FY2025 on $7.9M of operating expenses [1]. Cash of $12.1M as of Q1 FY2026 provides approximately 5-6 quarters of runway at current burn rate, but the company will likely need additional capital raises that dilute existing shareholders. No debt on the balance sheet (D/E unavailable) is positive but reflects inability to access debt markets rather than conservative management. The forward P/E of -2.9x confirms unprofitability. Market cap of $46M makes this a micro-cap speculative position. Liquidity is adequate at $23.8M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Edesa is a small clinical-stage biotech focused on advancing specific drug candidates through regulatory approval — a fundamentally finite game of binary outcomes (approval or failure). The company's purpose is genuine but narrow, and its 17-person team and micro-cap status limit the organizational depth needed for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Edesa's cause — treating underserved patients with inflammatory diseases — is genuine but generic. Every clinical-stage biotech claims to address unmet medical needs. The ARDS mortality reduction data (24% vs. 33%) gives the cause real-world validation, but the company has not proven long-term commitment through crisis or multi-decade execution [1][2].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17 employees and a recent CFO departure, there is insufficient evidence to assess organizational trust. The micro-cap biotech model inherently involves high turnover and resource constraints. No Glassdoor data or employee sentiment information is available [2]. Score: 0/2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how Edesa frames its competitive landscape — the company's communications focus on clinical data and pipeline advancement rather than competitive positioning. As a pre-commercial micro-cap, competitive dynamics are less relevant than execution risk [2]. Score: 0/1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Edesa has shown some flexibility by expanding from dermatology (EB01) into respiratory (EB05/paridiprubart) and filing patents for adjacent indications (sepsis, AKI, pneumonia) based on Phase 3 data [1]. The pivot to leverage paridiprubart across multiple indications demonstrates adaptive thinking, though the company's small size means these pivots are less transformative than they would be for a larger organization.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Dr. Nijhawan has personally invested in shares ($66,600 at $2.22) and insiders collectively purchased $184K in stock over the last quarter, demonstrating personal conviction [3]. The company has maintained its clinical programs despite persistent losses and micro-cap status, which requires courage in the face of dilution risk and funding uncertainty.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Edesa Biotech's investment case rests entirely on the clinical promise of paridiprubart (EB05), which demonstrated a statistically significant 27% relative reduction in 28-day ARDS mortality (24% vs. 33% placebo, p&lt;0.001) in a 278-patient Phase 3 study [1]. ARDS is a large unmet medical need with no approved targeted therapies, and the company has filed provisional patents expanding into sepsis, AKI, and pneumonia — potentially multi-billion-dollar markets. The EB06 vitiligo program adds optionality with Phase 2 recruitment planned for mid-2026. CEO insider buying ($66,600) and institutional accumulation by Point72 (7.2% stake) signal smart-money conviction [3]. At a $46M market cap, any positive regulatory development could drive outsized returns.</w:t>
      </w:r>
    </w:p>
    <w:p>
      <w:pPr>
        <w:spacing w:after="120"/>
      </w:pPr>
      <w:r>
        <w:rPr>
          <w:rFonts w:ascii="Calibri" w:hAnsi="Calibri"/>
          <w:b w:val="0"/>
          <w:color w:val="3A4A28"/>
          <w:sz w:val="20"/>
        </w:rPr>
        <w:t>The bear case is severe. Edesa is a pre-revenue company burning $7-8M annually with only $12.1M in cash — roughly 6 quarters of runway before dilutive capital raises become necessary [1]. The ROE of -96%, zero profit margin, and negative forward P/E confirm that this is a speculative clinical-stage bet, not an investment in a functioning business. The 17-person team creates key-person risk and limits execution capacity. Phase 3 ARDS results, while positive, were in a government-funded platform study that may not translate cleanly to an independent registration trial. The vitiligo (EB06) and pulmonary fibrosis (EB07) programs are early-stage with uncertain timelines. Drug development binary risk is extreme — a single failed trial could destroy the thesis entirely. The stock has surged 80%+ on clinical data enthusiasm, creating valuation risk if follow-up data disappoints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Paridiprubart Phase 3 ARDS data supporting potential NDA/BLA filing — FDA regulatory pathway clarity expected in 2026 [1]</w:t>
      </w:r>
    </w:p>
    <w:p>
      <w:pPr>
        <w:spacing w:before="40" w:after="40"/>
        <w:ind w:left="283"/>
      </w:pPr>
      <w:r>
        <w:rPr>
          <w:rFonts w:ascii="Calibri" w:hAnsi="Calibri"/>
          <w:b/>
          <w:color w:val="4A6B25"/>
          <w:sz w:val="20"/>
        </w:rPr>
        <w:t xml:space="preserve">2. </w:t>
      </w:r>
      <w:r>
        <w:rPr>
          <w:rFonts w:ascii="Calibri" w:hAnsi="Calibri"/>
          <w:b w:val="0"/>
          <w:color w:val="3A4A28"/>
          <w:sz w:val="20"/>
        </w:rPr>
        <w:t>EB06 vitiligo Phase 2 trial recruitment initiation in Canada mid-2026 with potential to unlock a $2B+ dermatology market [1][2]</w:t>
      </w:r>
    </w:p>
    <w:p>
      <w:pPr>
        <w:spacing w:before="40" w:after="40"/>
        <w:ind w:left="283"/>
      </w:pPr>
      <w:r>
        <w:rPr>
          <w:rFonts w:ascii="Calibri" w:hAnsi="Calibri"/>
          <w:b/>
          <w:color w:val="4A6B25"/>
          <w:sz w:val="20"/>
        </w:rPr>
        <w:t xml:space="preserve">3. </w:t>
      </w:r>
      <w:r>
        <w:rPr>
          <w:rFonts w:ascii="Calibri" w:hAnsi="Calibri"/>
          <w:b w:val="0"/>
          <w:color w:val="3A4A28"/>
          <w:sz w:val="20"/>
        </w:rPr>
        <w:t>Institutional accumulation by Point72 (7.2% stake) and Velan Capital (9.99% capped) signaling smart-money validation of clinical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6 quarters ($12.1M at $7-8M annual burn) virtually guarantees dilutive financing before any commercial revenue [1]</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 single failed trial or FDA rejection could eliminate the majority of the company's value given zero revenue and pipeline concentration [1]</w:t>
      </w:r>
    </w:p>
    <w:p>
      <w:pPr>
        <w:spacing w:before="40" w:after="40"/>
        <w:ind w:left="283"/>
      </w:pPr>
      <w:r>
        <w:rPr>
          <w:rFonts w:ascii="Calibri" w:hAnsi="Calibri"/>
          <w:b/>
          <w:color w:val="4A6B25"/>
          <w:sz w:val="20"/>
        </w:rPr>
        <w:t xml:space="preserve">3. </w:t>
      </w:r>
      <w:r>
        <w:rPr>
          <w:rFonts w:ascii="Calibri" w:hAnsi="Calibri"/>
          <w:b w:val="0"/>
          <w:color w:val="3A4A28"/>
          <w:sz w:val="20"/>
        </w:rPr>
        <w:t>Micro-cap execution risk — 17 employees, recent CFO departure, and limited commercial infrastructure to bring any approved drug to market independently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Edesa operates in clinical-stage drug development, which is inherently PROTECTED from AI disruption — AI cannot replace the wet-lab biology, clinical trials, regulatory approval processes, and patient safety monitoring that constitute Edesa's core activities [2]. Drug development requires physical-world clinical infrastructure, FDA/Health Canada oversight, and human subjects research that AI structurally cannot displace. While AI tools may accelerate drug discovery and clinical trial design for competitors, they do not threaten Edesa's existing pipeline or competitive position. AI Opportunity (0/1): No AI-related revenue or products; the company does not use AI as a commercial offering or report AI-driven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Edesa Biotech Q1 FY2026 Results and Paridiprubart Phase 3 ARDS Data — 27% mortality reduction, $12.1M cash,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Edesa Biotech Corporate Website — Leadership, pipeline, mission, and EB06 vitiligo program update</w:t>
      </w:r>
    </w:p>
    <w:p>
      <w:pPr>
        <w:spacing w:before="20" w:after="20"/>
        <w:ind w:left="170"/>
      </w:pPr>
      <w:r>
        <w:rPr>
          <w:rFonts w:ascii="Calibri" w:hAnsi="Calibri"/>
          <w:b/>
          <w:color w:val="4A6B25"/>
          <w:sz w:val="15"/>
        </w:rPr>
        <w:t xml:space="preserve">3. </w:t>
      </w:r>
      <w:r>
        <w:rPr>
          <w:rFonts w:ascii="Calibri" w:hAnsi="Calibri"/>
          <w:b w:val="0"/>
          <w:color w:val="3A4A28"/>
          <w:sz w:val="17"/>
        </w:rPr>
        <w:t>TipRanks — CEO Nijhawan insider buying ($66,600), Point72 7.2% stake, Velan Capital 9.99% position,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EDSA (Edesa Biotech),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