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EFC</w:t>
      </w:r>
      <w:r>
        <w:rPr>
          <w:rFonts w:ascii="Calibri" w:hAnsi="Calibri"/>
          <w:b/>
          <w:color w:val="1A2010"/>
          <w:sz w:val="40"/>
        </w:rPr>
        <w:t xml:space="preserve">  Ellington Financial Inc.</w:t>
      </w:r>
    </w:p>
    <w:p>
      <w:pPr>
        <w:spacing w:after="120"/>
      </w:pPr>
      <w:r>
        <w:rPr>
          <w:rFonts w:ascii="Calibri" w:hAnsi="Calibri"/>
          <w:b/>
          <w:color w:val="6E8450"/>
          <w:sz w:val="18"/>
        </w:rPr>
        <w:t>DIVIDEND SLEEVE · 2026-04-16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Ellington Financial Inc., through its subsidiary Ellington Financial Operating Partnership LLC, acquires and manages mortgage-related, consumer-related, corporate-related, and other financial assets. It operates in two segments: Investment Portfolio and Longbridge. The company invests in RMBS, CMBS, CLOs, consumer loans, and reverse mortgage originations, managing a diversified credit portfolio across residential and commercial mortgage markets.</w:t>
      </w:r>
    </w:p>
    <w:p>
      <w:r>
        <w:rPr>
          <w:rFonts w:ascii="Calibri" w:hAnsi="Calibri"/>
          <w:b/>
          <w:color w:val="6E8450"/>
          <w:sz w:val="18"/>
        </w:rPr>
        <w:t>500 Employees · https://www.ellingtonfinancial.com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Ellington completed the acquisition of Arlington Asset Investment in 2024 and the Great Ajax merger, expanding its portfolio from ~$8B to ~$16B in total assets — a meaningful but acquisition-driven transformation rather than organic product innovation [1][2]. AI Deployment (0/2): No evidence of AI-powered products or quantified AI-driven cost savings. Management mentioned adding technology capabilities but no specific AI initiatives or measurable results [1]. Market Share (1/2): Ellington is a meaningful player in non-QM RMBS and reverse mortgage origination through Longbridge but holds no dominant category position in the fragmented mREIT space [1]. Pipeline (1/2): Management outlined 2026 plans to expand strategic originator relationships and improve earnings quality, with projected revenue growth to $132-137M quarterly, but these are incremental extensions of existing strategies [1]. R&amp;D Intensity (0/1): As a financial REIT, there is no meaningful R&amp;D spend; innovation comes through deal structuring and portfolio management.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Ellington's stated purpose centers on 'protecting and growing institutional capital across credit cycles' — a functional description of what it does rather than an aspirational vision. It is interchangeable with dozens of peer mortgage REITs [3]. Community Impact (1/2): Ellington employs approximately 500 people and supports housing finance markets through its mortgage origination and securitization activities, but no distinctive charitable programs or community investment initiatives were identified [3]. Employee Retention (1/2): Glassdoor ratings for Ellington Management Group average 3.7/5 based on 44 reviews, with mixed feedback — good learning opportunities but reports of long hours, micromanagement, and pressure culture. Culture and values rated 3.5/5, suggesting adequate but not exceptional retention [4]. Insider Buying (1/2): Limited publicly available insider transaction data, though CEO Mike Vranos has maintained significant equity exposure as founder since 1994, suggesting long-term alignment.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Ellington's financial profile reflects the leveraged mREIT model — high D/E of 909.7% (typical for the sector but penalized mechanically), ROE of 8.71%, and strong profit margin of 44.6% [5]. Forward P/E of 6.72x is attractive, reflecting market skepticism about earnings sustainability. Revenue grew 8.6% YoY to $306.5M in FY2025, with Q4 2025 adjusted distributable earnings of $0.47/share beating estimates of $0.45 [1][2]. Book value per share was $13.16 at year-end 2025, rising to $13.31 by January 2026 [2]. The $1.56 annual dividend (12.2% yield) has been paid monthly since 2013 but has remained flat at $0.13/month with no growth, and the payout ratio of 131% exceeds distributable earnings on a GAAP basis [5]. Liquidity floor cleared: $27.0M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Ellington Financial plays a moderately infinite game — the 30+ year track record under founder Mike Vranos demonstrates endurance through multiple credit cycles, but the company's orientation remains fundamentally transactional, focused on optimizing portfolio returns rather than advancing a cause beyond capital growth.</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Ellington's purpose — 'protecting and growing institutional capital across credit cycles' — is functional rather than cause-driven [3]. Founded in 1994 by Mike Vranos after Kidder Peabody, the firm has navigated the 2008 financial crisis, COVID, and rising rate cycles, demonstrating survival instincts. However, no Just Cause beyond financial performance is articulated.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(3.7/5) show a mixed culture — employees cite good learning opportunities and pleasant colleagues, but also report long hours, micromanagement, and 'high pressure toxic culture' in some reviews [4]. The small team of ~500 employees suggests close-knit operations, and Vranos's 30+ year leadership provides stability. Adequate but not exceptional trust environment.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Ellington acknowledging competitors' strengths as learning opportunities. The mREIT space is highly competitive with peers like Annaly, AGNC, and Two Harbors, but Ellington's public commentary focuses on its own portfolio performance and deal flow rather than competitive self-improvement [1].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Ellington has shown meaningful strategic evolution — expanding from pure agency RMBS trading into non-QM origination, CLOs, consumer loans, and reverse mortgages through Longbridge [1][2]. The Arlington Asset and Great Ajax acquisitions represent strategic adaptation to changing rate environments. However, these are incremental extensions of the same financial asset management model, not transformative reinventions.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Vranos navigated Ellington through the 2008 crisis when many mortgage-focused firms collapsed, demonstrating willingness to hold through painful drawdowns [3]. The decision to acquire Arlington and Great Ajax during volatile markets shows conviction in long-term portfolio building over short-term earnings protection. However, the high payout ratio and monthly dividend structure suggest some optimization for current income over long-term capital accumulation.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Ellington Financial offers a compelling 12.2% dividend yield supported by a diversified credit portfolio that grew to $306.5M in FY2025 revenue (up 8.6% YoY) [1]. The Q4 2025 adjusted distributable earnings of $0.47/share beat estimates, and book value per share of $13.31 (January 2026) provides a floor valuation well above the current $12.81 stock price [2]. At 6.7x forward P/E, the stock is priced for significant skepticism despite management's plans to expand originator relationships and improve earnings quality in 2026, with analysts projecting revenue growth to $132-137M quarterly [1]. The Longbridge reverse mortgage platform and non-QM origination capabilities differentiate Ellington from pure agency mREIT peers.</w:t>
      </w:r>
    </w:p>
    <w:p>
      <w:pPr>
        <w:spacing w:after="120"/>
      </w:pPr>
      <w:r>
        <w:rPr>
          <w:rFonts w:ascii="Calibri" w:hAnsi="Calibri"/>
          <w:b w:val="0"/>
          <w:color w:val="3A4A28"/>
          <w:sz w:val="20"/>
        </w:rPr>
        <w:t>The bear case centers on unsustainable payout mechanics and interest rate sensitivity. The GAAP payout ratio of 131% means Ellington is distributing more than reported earnings, relying on adjusted metrics to justify the dividend — a practice sustainable only if portfolio gains continue [5]. D/E of 910% reflects extreme leverage typical of mREITs but leaves minimal margin for error if credit spreads widen or prepayment speeds shift unfavorably. EPS declined 45% YoY in Q4 2025, and the flat $0.13/month dividend since at least 2024 shows no growth trajectory [2]. As a small-cap ($1.6B) mREIT with only 500 employees, Ellington lacks the scale advantages of Annaly ($12B+) or AGNC, and a sustained credit deterioration cycle could force a dividend cut that would crater the stock given its yield-dependent investor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continuation toward $132-137M quarterly in 2026 driven by expanded originator relationships and Longbridge reverse mortgage origination volume [1]</w:t>
      </w:r>
    </w:p>
    <w:p>
      <w:pPr>
        <w:spacing w:before="40" w:after="40"/>
        <w:ind w:left="283"/>
      </w:pPr>
      <w:r>
        <w:rPr>
          <w:rFonts w:ascii="Calibri" w:hAnsi="Calibri"/>
          <w:b/>
          <w:color w:val="4A6B25"/>
          <w:sz w:val="20"/>
        </w:rPr>
        <w:t xml:space="preserve">2. </w:t>
      </w:r>
      <w:r>
        <w:rPr>
          <w:rFonts w:ascii="Calibri" w:hAnsi="Calibri"/>
          <w:b w:val="0"/>
          <w:color w:val="3A4A28"/>
          <w:sz w:val="20"/>
        </w:rPr>
        <w:t>Book value recovery above $13.31/share as credit spreads normalize, potentially closing the discount to book at which EFC currently trades [2]</w:t>
      </w:r>
    </w:p>
    <w:p>
      <w:pPr>
        <w:spacing w:before="40" w:after="40"/>
        <w:ind w:left="283"/>
      </w:pPr>
      <w:r>
        <w:rPr>
          <w:rFonts w:ascii="Calibri" w:hAnsi="Calibri"/>
          <w:b/>
          <w:color w:val="4A6B25"/>
          <w:sz w:val="20"/>
        </w:rPr>
        <w:t xml:space="preserve">3. </w:t>
      </w:r>
      <w:r>
        <w:rPr>
          <w:rFonts w:ascii="Calibri" w:hAnsi="Calibri"/>
          <w:b w:val="0"/>
          <w:color w:val="3A4A28"/>
          <w:sz w:val="20"/>
        </w:rPr>
        <w:t>Portfolio optimization from the fully integrated Arlington Asset and Great Ajax acquisitions, which doubled total assets and should drive operating leverage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risk — GAAP payout ratio of 131% is unsustainable long-term and any cut to the $0.13/month dividend would trigger significant selling from yield-focused investors [5]</w:t>
      </w:r>
    </w:p>
    <w:p>
      <w:pPr>
        <w:spacing w:before="40" w:after="40"/>
        <w:ind w:left="283"/>
      </w:pPr>
      <w:r>
        <w:rPr>
          <w:rFonts w:ascii="Calibri" w:hAnsi="Calibri"/>
          <w:b/>
          <w:color w:val="4A6B25"/>
          <w:sz w:val="20"/>
        </w:rPr>
        <w:t xml:space="preserve">2. </w:t>
      </w:r>
      <w:r>
        <w:rPr>
          <w:rFonts w:ascii="Calibri" w:hAnsi="Calibri"/>
          <w:b w:val="0"/>
          <w:color w:val="3A4A28"/>
          <w:sz w:val="20"/>
        </w:rPr>
        <w:t>Interest rate and credit spread sensitivity — D/E of 910% means small movements in rates or spreads produce outsized P&amp;L swings, with Q4 2025 EPS already declining 45% YoY [2][5]</w:t>
      </w:r>
    </w:p>
    <w:p>
      <w:pPr>
        <w:spacing w:before="40" w:after="40"/>
        <w:ind w:left="283"/>
      </w:pPr>
      <w:r>
        <w:rPr>
          <w:rFonts w:ascii="Calibri" w:hAnsi="Calibri"/>
          <w:b/>
          <w:color w:val="4A6B25"/>
          <w:sz w:val="20"/>
        </w:rPr>
        <w:t xml:space="preserve">3. </w:t>
      </w:r>
      <w:r>
        <w:rPr>
          <w:rFonts w:ascii="Calibri" w:hAnsi="Calibri"/>
          <w:b w:val="0"/>
          <w:color w:val="3A4A28"/>
          <w:sz w:val="20"/>
        </w:rPr>
        <w:t>Integration execution risk — absorbing Arlington Asset and Great Ajax acquisitions while maintaining portfolio quality across non-QM, CLO, and reverse mortgage segments increases operational complexity for a 500-person organization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Ellington's core business — acquiring, managing, and securitizing mortgage-related assets — involves deeply regulated financial processes, proprietary credit analysis, and physical-world real estate collateral that AI cannot structurally displace [1]. Mortgage origination through Longbridge requires human relationships, regulatory compliance, and local market knowledge. The mREIT model's value is in capital allocation and risk management across credit cycles, not in automatable commodity services. AI may improve internal analytics and loan processing efficiency but poses no substitution risk to the core business model. AI Opportunity (0/1): No evidence of AI-generated revenue. While management mentioned adding technology capabilities, no specific AI products or quantified AI revenue contribution was identified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Ellington Financial Q4 2025 Earnings Release — Adjusted Distributable Earnings of $0.47/share, book value $13.16, February 2026</w:t>
      </w:r>
    </w:p>
    <w:p>
      <w:pPr>
        <w:spacing w:before="20" w:after="20"/>
        <w:ind w:left="170"/>
      </w:pPr>
      <w:r>
        <w:rPr>
          <w:rFonts w:ascii="Calibri" w:hAnsi="Calibri"/>
          <w:b/>
          <w:color w:val="4A6B25"/>
          <w:sz w:val="15"/>
        </w:rPr>
        <w:t xml:space="preserve">2. </w:t>
      </w:r>
      <w:r>
        <w:rPr>
          <w:rFonts w:ascii="Calibri" w:hAnsi="Calibri"/>
          <w:b w:val="0"/>
          <w:color w:val="3A4A28"/>
          <w:sz w:val="17"/>
        </w:rPr>
        <w:t>TradingView / Investing.com — Ellington Financial Q4 2025 earnings transcript and portfolio growth analysis, February 2026</w:t>
      </w:r>
    </w:p>
    <w:p>
      <w:pPr>
        <w:spacing w:before="20" w:after="20"/>
        <w:ind w:left="170"/>
      </w:pPr>
      <w:r>
        <w:rPr>
          <w:rFonts w:ascii="Calibri" w:hAnsi="Calibri"/>
          <w:b/>
          <w:color w:val="4A6B25"/>
          <w:sz w:val="15"/>
        </w:rPr>
        <w:t xml:space="preserve">3. </w:t>
      </w:r>
      <w:r>
        <w:rPr>
          <w:rFonts w:ascii="Calibri" w:hAnsi="Calibri"/>
          <w:b w:val="0"/>
          <w:color w:val="3A4A28"/>
          <w:sz w:val="17"/>
        </w:rPr>
        <w:t>Ellington Management Group corporate website — leadership team and company overview,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Glassdoor — Ellington Management Group reviews (44 reviews, 3.7/5 rating),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EFC key statistics,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