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EIX</w:t>
      </w:r>
      <w:r>
        <w:rPr>
          <w:rFonts w:ascii="Calibri" w:hAnsi="Calibri"/>
          <w:b/>
          <w:color w:val="1A2010"/>
          <w:sz w:val="40"/>
        </w:rPr>
        <w:t xml:space="preserve">  Edison International</w:t>
      </w:r>
    </w:p>
    <w:p>
      <w:pPr>
        <w:spacing w:after="120"/>
      </w:pPr>
      <w:r>
        <w:rPr>
          <w:rFonts w:ascii="Calibri" w:hAnsi="Calibri"/>
          <w:b/>
          <w:color w:val="6E8450"/>
          <w:sz w:val="18"/>
        </w:rPr>
        <w:t>GROWTH SLEEVE · 2026-04-01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NYSE · United States</w:t>
      </w:r>
    </w:p>
    <w:p>
      <w:pPr>
        <w:spacing w:after="80"/>
      </w:pPr>
      <w:r>
        <w:rPr>
          <w:rFonts w:ascii="Calibri" w:hAnsi="Calibri"/>
          <w:b w:val="0"/>
          <w:color w:val="3A4A28"/>
          <w:sz w:val="20"/>
        </w:rPr>
        <w:t>Edison International, through its subsidiary Southern California Edison (SCE), generates and distributes electric power across approximately 50,000 square miles of southern, central, and coastal California. The regulated utility serves approximately 5 million customer accounts and is investing $40 billion over five years in grid modernization and clean energy infrastructure.</w:t>
      </w:r>
    </w:p>
    <w:p>
      <w:r>
        <w:rPr>
          <w:rFonts w:ascii="Calibri" w:hAnsi="Calibri"/>
          <w:b/>
          <w:color w:val="6E8450"/>
          <w:sz w:val="18"/>
        </w:rPr>
        <w:t>13,725 Employees · https://www.edison.com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Edison has incrementally modernized its grid over the past five years, but the core business model — regulated electric distribution — remains unchanged. The AWARE (Advanced Waveform Anomaly Recognition) system earned SCE a Top Ten Innovative Grid Technologies recognition from Darcy Partners in 2025 [2]. No transformative business model shifts. AI Deployment (1/2): Edison is deploying AI for grid optimization, wildfire detection, and predictive maintenance through the AWARE system, but these are operational efficiency tools rather than customer-facing AI products with quantified revenue impact [2]. Market Share (1/2): SCE is the dominant electric utility in southern California with a regulated monopoly position, but this is a granted franchise rather than competitively earned market leadership. Pipeline (1/2): The $40B five-year capital investment plan targets grid hardening, clean energy integration, and EV infrastructure, with specific timelines tied to regulatory approvals [1]. R&amp;D Intensity (1/1): Edison invests above utility-sector averages in grid technology R&amp;D through its partnership with EPRI and dedicated Strategy, Technology, and Innovation division under Sergej Mahnovski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Edison's purpose centers on providing 'clean, reliable, and affordable energy' — clear and relevant but not distinctive among utility peers. The mission identifies what Edison does but doesn't articulate a deeper societal vision beyond operational excellence. Community Impact (2/2): Edison's $1B wildfire mitigation budget and Eaton fire compensation program demonstrate community investment, though the program paid only 82 of 1,800 applicants and faced criticism for requiring lawsuit waivers [3]. SCE employs 13,725 and serves as critical infrastructure for millions of Californians. Employee Retention (1/2): CEO Pedro Pizarro has led since 2016 (10-year tenure) and joined the company in 1999, suggesting leadership continuity. No specific employee turnover data available. Insider Buying (0/2): No evidence of meaningful insider buying in the last 12 months; stock price volatility from wildfire exposure makes insider signals difficult to interpret.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Edison scores well mechanically despite the elevated D/E ratio. D/E of 215.7% is high but typical for regulated utilities and scores 0.37 against the 70%/300% target/floor [4]. ROE of 24.1% significantly exceeds the 15% target at 2x weight. Revenue growth of 9.8% YoY ($19.3B vs $17.6B) nearly hits the 10% target [1]. The 3-year revenue CAGR of 3.9% earns partial credit at 2x weight. Forward P/E of 11.3x is well below the 20 target, scoring a perfect 1.0. Profit margin of 23.1% exceeds the 20% target. Estimated PEG of ~1.6 (11.3x forward PE / ~7% EPS growth guidance) earns 0.70 at 2x weight [1]. Liquidity floor cleared: 3.4M avg volume x $73.41 = $253M daily. The Altman Z-Score of 0.81 indicates financial distress concerns, though this metric is less relevant for regulated utilities with guaranteed cost recovery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Edison International plays a long game inherent to regulated utilities — multi-decade capital investments, generational infrastructure planning, and an essential service mandate. However, the wildfire liability crisis exposes governance failures that undermine the infinite game narrative, and the regulated monopoly structure limits the existential flexibility that characterizes true infinite players.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Edison's purpose of powering communities with clean, reliable energy is genuine and enduring — the company has served southern California since 1886, making it one of America's oldest utilities [2]. CEO Pizarro's engagement with EPRI, the Secretary of Energy Advisory Board, and clean energy advocacy shows the mission connects to a broader societal vision. However, the purpose is inseparable from the regulated monopoly structure rather than being a competitive differentiator, and the Eaton fire crisis revealed tension between mission and execution [3]. 2 points on the weighted scale.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Pizarro's 25+ year tenure at Edison and the stable leadership team suggest organizational continuity and trust. The company emphasizes cultural diversity across its leadership team. However, no specific employee retention data, voluntary turnover rates, or cultural survey results are publicly available to confirm a high-trust environment. The wildfire crisis management — particularly the limited compensation payouts (82 of 1,800 applicants) — may strain internal and external trust [3]. 1 point on the weighted scale.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a regulated monopoly, Edison has limited competitive dynamics. The company does not frame NextEra, Duke, or other utilities as worthy rivals from which to learn. The competitive language is largely absent because the franchise eliminates direct competition. Edison's innovation is internally motivated rather than rival-inspired. 0 points on the weighted scale.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Edison has evolved from a pure fossil fuel utility toward clean energy integration, investing $40B over five years in grid modernization, renewable interconnection, and EV infrastructure [1]. The strategic shift toward data center load growth as an earnings driver represents meaningful adaptation to the AI era. However, these are incremental evolutions within the regulated utility model rather than transformative reinventions — the core business of distributing electrons through wires has not fundamentally changed. 1 point on the weighted scale.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Edison's $40B capital investment commitment during a period of wildfire liability uncertainty shows willingness to invest long-term despite near-term financial stress [1]. Pizarro's co-chairing of the SEAB Innovation Working Group and advocacy for clean energy policy demonstrate policy courage. However, the Eaton fire response — limited compensation payouts and liability disputes — suggests the company prioritizes legal protection over stakeholder responsibility when tested [3]. 1 point on the weighted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Edison International is a deeply discounted regulated utility trading at 11.3x forward P/E (vs historical median ~27x) with 24.1% ROE and 23.1% profit margins — strong fundamentals obscured by wildfire liability overhang [1]. FY2025 revenue grew 9.8% to $19.3B, and management guides 5-7% EPS growth supported by a $40B five-year capital plan targeting grid modernization, clean energy, and data center electrification [1]. The AI data center buildout creates structural demand growth for California electricity — SCE's service territory is home to major hyperscalers. The $0.8775 quarterly dividend (4.8% yield, 29% payout ratio) provides income while the valuation normalizes. At 6.4x trailing P/E, the stock prices in significant wildfire losses that may not fully materialize given California's $21B Wildfire Fund backstop [3].</w:t>
      </w:r>
    </w:p>
    <w:p>
      <w:pPr>
        <w:spacing w:after="120"/>
      </w:pPr>
      <w:r>
        <w:rPr>
          <w:rFonts w:ascii="Calibri" w:hAnsi="Calibri"/>
          <w:b w:val="0"/>
          <w:color w:val="3A4A28"/>
          <w:sz w:val="20"/>
        </w:rPr>
        <w:t>The bear case is dominated by wildfire liability. The January 2025 Eaton fire killed 17 people and destroyed 9,414 structures, with SCE facing $77M+ in DOJ lawsuits and $10B+ in private claims [3]. LA County alleges Edison 'deliberately prioritized profits over safety.' If found negligent, Edison could owe $3.9B+ to California's Wildfire Fund, and the $1B self-insurance fund is projected depleted by 2026 [3]. D/E of 215.7% limits financial flexibility for absorbing large settlements. The Altman Z-Score of 0.81 indicates financial distress risk. Revenue growth of 3.9% CAGR (3-year) is modest for a Growth sleeve stock. Regulatory uncertainty — wildfire liability rules, rate case outcomes, and clean energy mandates — creates multi-year earnings visibility challenges. The stock is down ~33% from pre-fire levels, suggesting the market still prices meaningful probability of adverse outcomes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electricity demand creating structural load growth in SCE's California service territory, with hyperscaler capacity additions driving incremental rate base growth [1]</w:t>
      </w:r>
    </w:p>
    <w:p>
      <w:pPr>
        <w:spacing w:before="40" w:after="40"/>
        <w:ind w:left="283"/>
      </w:pPr>
      <w:r>
        <w:rPr>
          <w:rFonts w:ascii="Calibri" w:hAnsi="Calibri"/>
          <w:b/>
          <w:color w:val="4A6B25"/>
          <w:sz w:val="20"/>
        </w:rPr>
        <w:t xml:space="preserve">2. </w:t>
      </w:r>
      <w:r>
        <w:rPr>
          <w:rFonts w:ascii="Calibri" w:hAnsi="Calibri"/>
          <w:b w:val="0"/>
          <w:color w:val="3A4A28"/>
          <w:sz w:val="20"/>
        </w:rPr>
        <w:t>Wildfire liability resolution — favorable court rulings or California Wildfire Fund absorption could unlock significant re-rating from 11.3x forward P/E toward the 27x historical median [3]</w:t>
      </w:r>
    </w:p>
    <w:p>
      <w:pPr>
        <w:spacing w:before="40" w:after="40"/>
        <w:ind w:left="283"/>
      </w:pPr>
      <w:r>
        <w:rPr>
          <w:rFonts w:ascii="Calibri" w:hAnsi="Calibri"/>
          <w:b/>
          <w:color w:val="4A6B25"/>
          <w:sz w:val="20"/>
        </w:rPr>
        <w:t xml:space="preserve">3. </w:t>
      </w:r>
      <w:r>
        <w:rPr>
          <w:rFonts w:ascii="Calibri" w:hAnsi="Calibri"/>
          <w:b w:val="0"/>
          <w:color w:val="3A4A28"/>
          <w:sz w:val="20"/>
        </w:rPr>
        <w:t>$40B five-year capital investment plan driving 5-7% EPS growth through grid modernization, renewable interconnection, and EV charging infrastructure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Eaton fire liability — $10B+ in private claims and DOJ lawsuits could result in material losses exceeding Wildfire Fund coverage, with negligence finding triggering $3.9B+ fund reimbursement [3]</w:t>
      </w:r>
    </w:p>
    <w:p>
      <w:pPr>
        <w:spacing w:before="40" w:after="40"/>
        <w:ind w:left="283"/>
      </w:pPr>
      <w:r>
        <w:rPr>
          <w:rFonts w:ascii="Calibri" w:hAnsi="Calibri"/>
          <w:b/>
          <w:color w:val="4A6B25"/>
          <w:sz w:val="20"/>
        </w:rPr>
        <w:t xml:space="preserve">2. </w:t>
      </w:r>
      <w:r>
        <w:rPr>
          <w:rFonts w:ascii="Calibri" w:hAnsi="Calibri"/>
          <w:b w:val="0"/>
          <w:color w:val="3A4A28"/>
          <w:sz w:val="20"/>
        </w:rPr>
        <w:t>Financial distress indicators — Altman Z-Score of 0.81, D/E of 215.7%, and $1B self-insurance fund projected depleted by 2026 create balance sheet vulnerability [1]</w:t>
      </w:r>
    </w:p>
    <w:p>
      <w:pPr>
        <w:spacing w:before="40" w:after="40"/>
        <w:ind w:left="283"/>
      </w:pPr>
      <w:r>
        <w:rPr>
          <w:rFonts w:ascii="Calibri" w:hAnsi="Calibri"/>
          <w:b/>
          <w:color w:val="4A6B25"/>
          <w:sz w:val="20"/>
        </w:rPr>
        <w:t xml:space="preserve">3. </w:t>
      </w:r>
      <w:r>
        <w:rPr>
          <w:rFonts w:ascii="Calibri" w:hAnsi="Calibri"/>
          <w:b w:val="0"/>
          <w:color w:val="3A4A28"/>
          <w:sz w:val="20"/>
        </w:rPr>
        <w:t>Regulatory and climate risk — increasing California wildfire frequency from climate change raises recurring liability exposure, while rate case outcomes may not fully recover wildfire mitigation costs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Edison International operates physical electrical infrastructure — power lines, substations, transformers — that AI structurally cannot replace. The utility model is a regulated monopoly delivering electrons through physical assets across 50,000 square miles [2]. AI actually increases demand for Edison's core product: data centers powering AI workloads require massive amounts of electricity, and California's growing AI industry directly benefits SCE's load growth. Morningstar projects 7% average annual earnings growth partly driven by electrification and data center demand [1]. No analyst has flagged AI as a substitution risk for regulated utilities. AI Opportunity (1/1): Edison generates meaningful operational value from AI through the AWARE grid anomaly detection system, predictive wildfire risk modeling, and AI-optimized grid management. While not direct AI revenue, these tools reduce wildfire liability costs and improve system reliability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Edison International Q4 2025 &amp; FY2025 Earnings Release — $19.3B revenue, FY2026 EPS guidance $5.90-$6.20, $40B capital plan, February 2026</w:t>
      </w:r>
    </w:p>
    <w:p>
      <w:pPr>
        <w:spacing w:before="20" w:after="20"/>
        <w:ind w:left="170"/>
      </w:pPr>
      <w:r>
        <w:rPr>
          <w:rFonts w:ascii="Calibri" w:hAnsi="Calibri"/>
          <w:b/>
          <w:color w:val="4A6B25"/>
          <w:sz w:val="15"/>
        </w:rPr>
        <w:t xml:space="preserve">2. </w:t>
      </w:r>
      <w:r>
        <w:rPr>
          <w:rFonts w:ascii="Calibri" w:hAnsi="Calibri"/>
          <w:b w:val="0"/>
          <w:color w:val="3A4A28"/>
          <w:sz w:val="17"/>
        </w:rPr>
        <w:t>Edison International Leadership and Innovation — CEO Pedro Pizarro, AWARE grid technology, AI adoption in utility operations, March 2026</w:t>
      </w:r>
    </w:p>
    <w:p>
      <w:pPr>
        <w:spacing w:before="20" w:after="20"/>
        <w:ind w:left="170"/>
      </w:pPr>
      <w:r>
        <w:rPr>
          <w:rFonts w:ascii="Calibri" w:hAnsi="Calibri"/>
          <w:b/>
          <w:color w:val="4A6B25"/>
          <w:sz w:val="15"/>
        </w:rPr>
        <w:t xml:space="preserve">3. </w:t>
      </w:r>
      <w:r>
        <w:rPr>
          <w:rFonts w:ascii="Calibri" w:hAnsi="Calibri"/>
          <w:b w:val="0"/>
          <w:color w:val="3A4A28"/>
          <w:sz w:val="17"/>
        </w:rPr>
        <w:t>CalMatters, Utility Dive, Insurance Journal — Eaton fire wildfire liability, $10B+ claims, DOJ lawsuits, compensation controversy,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EIX (Edison International),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