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ELAN</w:t>
      </w:r>
      <w:r>
        <w:rPr>
          <w:rFonts w:ascii="Calibri" w:hAnsi="Calibri"/>
          <w:b/>
          <w:color w:val="1A2010"/>
          <w:sz w:val="40"/>
        </w:rPr>
        <w:t xml:space="preserve">  Elanco Animal Health Incorporated</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Elanco Animal Health innovates, develops, manufactures, and markets products for pets and farm animals globally. Its portfolio includes parasiticides (Seresto, Credelio), therapeutics (Galliprant), vaccines, and farm animal products (Rumensin). The company focuses on its 'Big 6' blockbuster-potential innovation pipeline and digital transformation in veterinary care.</w:t>
      </w:r>
    </w:p>
    <w:p>
      <w:r>
        <w:rPr>
          <w:rFonts w:ascii="Calibri" w:hAnsi="Calibri"/>
          <w:b/>
          <w:color w:val="6E8450"/>
          <w:sz w:val="18"/>
        </w:rPr>
        <w:t>9,400 Employees · https://www.elanco.com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revenue of $4.715B grew 6% reported (7% organic constant currency), with Q4 revenue of $1.14B beating consensus by 4.6% and growing 12.2% YoY [1]. Innovation revenue hit $892M, exceeding targets, and all 'Big 6' blockbuster products delivered by year-end including Befrena approval in Q4 [1]. AI Deployment (0/2): Limited AI adoption — the company has a digital transformation executive but no prominent AI-driven products or AI-enhanced R&amp;D platforms disclosed publicly [2]. Market Share (2/2): Elanco is the #2 global animal health company behind Zoetis, with strong positions in parasiticides, pain management (Galliprant), and livestock feed additives (Rumensin) [1]. Pipeline (1/2): 170+ active R&amp;D programs with monoclonal antibody and immuno-therapeutics platforms; innovation revenue target raised to $1.15B for 2026 with 5-6 blockbuster approvals expected through 2031 [2]. R&amp;D Intensity (1/1): Significant investment in internal R&amp;D and external partnerships with startups and academic groups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'Healthy Purpose' framework connecting animal health to human wellbeing and planet sustainability is authentic and resonant, though narrower than broader healthcare missions. CEO Jeff Simmons has 30+ years in animal health and led the Lilly separation and Bayer acquisition [2]. Community Impact (1/2): Recognized as America's Most Responsible Companies (Newsweek 2025) and Great Place to Work certified; helped customers avoid 7.2M metric tons of CO2e emissions through Rumensin between 2020-2022 [4]. Employee Retention (1/2): Glassdoor 4.0/5 with 75% CEO approval, but recent reviews note deteriorating culture ('Culture was once the best thing about this place. It's quickly changing') and concerns about short-term leadership priorities [3]. Insider Buying (0/2): No notable insider buying activity; the $15M SEC penalty for misleading revenue disclosures (incentivized channel stuffing) raises governance concerns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Elanco's financial profile shows a company in turnaround mode with improving but still weak fundamentals. Trailing EPS is negative ($-0.47) though forward EPS of $1.17 and adjusted EPS guidance of $1.00–$1.06 for FY2026 indicate profitability inflection [1]. Debt-to-equity of 67.9% with $4.45B total debt against $545M cash creates a net debt position of $3.9B (net leverage target of &lt;3x by 2027) [1][5]. Gross margins of 55.0% are below pharmaceutical peers, and operating margin of 2.3% GAAP reflects heavy amortization from the $7.6B Bayer acquisition [5]. Revenue growth of 12.2% in Q4 and 4-6% organic guidance for FY2026 is modest. Forward P/E of 20.5x is reasonable for the improving earnings trajectory. Free cash flow of $560M provides debt service capacity. Liquidity floor cleared: 5.1M avg vol × $23.93 = $122.0M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Elanco shows elements of long-term thinking through its 2030 Healthy Purpose sustainability commitments and multi-year innovation pipeline, but the $15M SEC penalty for channel stuffing and deteriorating employee culture scores suggest short-term pressures sometimes override long-term principles under CEO Jeff Simmons'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Elanco's Healthy Purpose framework — connecting animal health to human wellbeing and planetary sustainability — is a genuine just cause with measurable impact (7.2M metric tons CO2e avoided through Rumensin use) [4]. The 2030 sustainability commitments aligned to UN SDGs demonstrate commitment beyond quarterly results. However, the SEC enforcement action for misleading revenue disclosures undermines the authenticity of stated values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an eroding trust environment despite formal recognition (Great Place to Work 2025). Employees note 'poor leadership with very short term reactions and priorities' and a culture that is 'quickly changing' for the worse [3]. The SEC penalty for incentivized sales practices suggests a culture that pressured commercial teams to hit near-term targets at the expense of transparency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Elanco competes against Zoetis (the clear industry leader) and uses this rivalry to drive its innovation pipeline — the 'Big 6' blockbuster strategy is explicitly designed to close the innovation gap with Zoetis [1][2]. The company's willingness to partner with startups, venture funds, and academic groups shows openness to external innovation rather than a purely internal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$7.6B Bayer Animal Health acquisition in 2020 was a bold existential move that doubled Elanco's pet health business. The subsequent pivot from legacy low-margin products to innovation-driven growth (targeting $1.15B innovation revenue in 2026) shows strategic flexibility [1]. However, the heavy debt burden from the acquisition constrains future strategic options and the company is still digesting the integration six years later.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Simmons showed courage in pursuing the transformative Bayer acquisition and committing to a multi-year innovation pipeline despite short-term earnings pressure. The Healthy Purpose 2030 commitments are forward-looking [4]. However, the SEC enforcement action reveals a period where commercial pressures overrode transparent leadership, and FY2026 guidance conservatism (4-6% organic growth) suggests cautious rather than courageous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Elanco Animal Health is at an inflection point as a turnaround story, with FY2025 revenue of $4.715B (6% growth) and innovation revenue of $892M exceeding targets, driven by the 'Big 6' blockbuster products including Credelio Plus, Galliprant, and the newly approved Befrena [1]. FY2026 guidance of $4.95–$5.02B revenue with adjusted EBITDA of $955–$985M (8% growth at midpoint) and adjusted EPS of $1.00–$1.06 represents the transition from losses to sustained profitability [1]. The innovation pipeline with 170+ active programs and monoclonal antibody/immuno-therapeutics platforms positions Elanco for multi-year growth, with innovation revenue expected to reach $1.15B in 2026 [2]. UBS has a $30 target (25% upside from current price) reflecting confidence in the earnings trajectory [1].</w:t>
      </w:r>
    </w:p>
    <w:p>
      <w:pPr>
        <w:spacing w:after="120"/>
      </w:pPr>
      <w:r>
        <w:rPr>
          <w:rFonts w:ascii="Calibri" w:hAnsi="Calibri"/>
          <w:b w:val="0"/>
          <w:color w:val="3A4A28"/>
          <w:sz w:val="20"/>
        </w:rPr>
        <w:t>The bear case is anchored in Elanco's heavy debt load ($4.45B, net debt $3.9B) from the 2020 Bayer acquisition, which constrains financial flexibility and generates significant interest expense that depresses GAAP earnings [5]. Trailing GAAP net loss of $232M and negative ROE of -3.67% demonstrate the company has not yet earned back its cost of capital six years post-acquisition. The $15M SEC penalty for misleading revenue disclosures through channel stuffing raises governance red flags [4]. Competition from Zoetis (which generates superior margins and growth) keeps Elanco as a perpetual #2 in a consolidating industry. Gross margins of 55% are mediocre for a pharmaceutical company, reflecting legacy farm animal product drag. Currency headwinds (organic growth of 7% vs. reported 6% in FY2025) create persistent P&amp;L noise for this global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Innovation revenue trajectory to $1.15B in 2026 with 5-6 additional blockbuster approvals expected through 2031, driving top-line acceleration beyond legacy product erosion [1][2]</w:t>
      </w:r>
    </w:p>
    <w:p>
      <w:pPr>
        <w:spacing w:before="40" w:after="40"/>
        <w:ind w:left="283"/>
      </w:pPr>
      <w:r>
        <w:rPr>
          <w:rFonts w:ascii="Calibri" w:hAnsi="Calibri"/>
          <w:b/>
          <w:color w:val="4A6B25"/>
          <w:sz w:val="20"/>
        </w:rPr>
        <w:t xml:space="preserve">2. </w:t>
      </w:r>
      <w:r>
        <w:rPr>
          <w:rFonts w:ascii="Calibri" w:hAnsi="Calibri"/>
          <w:b w:val="0"/>
          <w:color w:val="3A4A28"/>
          <w:sz w:val="20"/>
        </w:rPr>
        <w:t>Adjusted EPS inflection from negative GAAP to $1.00–$1.06 guided for FY2026, with three-year outlook calling for low double-digit EPS growth annually [1]</w:t>
      </w:r>
    </w:p>
    <w:p>
      <w:pPr>
        <w:spacing w:before="40" w:after="40"/>
        <w:ind w:left="283"/>
      </w:pPr>
      <w:r>
        <w:rPr>
          <w:rFonts w:ascii="Calibri" w:hAnsi="Calibri"/>
          <w:b/>
          <w:color w:val="4A6B25"/>
          <w:sz w:val="20"/>
        </w:rPr>
        <w:t xml:space="preserve">3. </w:t>
      </w:r>
      <w:r>
        <w:rPr>
          <w:rFonts w:ascii="Calibri" w:hAnsi="Calibri"/>
          <w:b w:val="0"/>
          <w:color w:val="3A4A28"/>
          <w:sz w:val="20"/>
        </w:rPr>
        <w:t>Deleveraging path — free cash flow of $1B+ over 2026-2028 targeting net leverage below 3x by 2027, improving balance sheet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burden of $4.45B with net debt of $3.9B constrains M&amp;A optionality and creates vulnerability to rising interest rates or earnings misses [5]</w:t>
      </w:r>
    </w:p>
    <w:p>
      <w:pPr>
        <w:spacing w:before="40" w:after="40"/>
        <w:ind w:left="283"/>
      </w:pPr>
      <w:r>
        <w:rPr>
          <w:rFonts w:ascii="Calibri" w:hAnsi="Calibri"/>
          <w:b/>
          <w:color w:val="4A6B25"/>
          <w:sz w:val="20"/>
        </w:rPr>
        <w:t xml:space="preserve">2. </w:t>
      </w:r>
      <w:r>
        <w:rPr>
          <w:rFonts w:ascii="Calibri" w:hAnsi="Calibri"/>
          <w:b w:val="0"/>
          <w:color w:val="3A4A28"/>
          <w:sz w:val="20"/>
        </w:rPr>
        <w:t>SEC enforcement history — the $15M penalty for misleading revenue disclosures raises ongoing governance concerns about commercial practices and management transparency [4]</w:t>
      </w:r>
    </w:p>
    <w:p>
      <w:pPr>
        <w:spacing w:before="40" w:after="40"/>
        <w:ind w:left="283"/>
      </w:pPr>
      <w:r>
        <w:rPr>
          <w:rFonts w:ascii="Calibri" w:hAnsi="Calibri"/>
          <w:b/>
          <w:color w:val="4A6B25"/>
          <w:sz w:val="20"/>
        </w:rPr>
        <w:t xml:space="preserve">3. </w:t>
      </w:r>
      <w:r>
        <w:rPr>
          <w:rFonts w:ascii="Calibri" w:hAnsi="Calibri"/>
          <w:b w:val="0"/>
          <w:color w:val="3A4A28"/>
          <w:sz w:val="20"/>
        </w:rPr>
        <w:t>Zoetis competitive dominance — as the clear #1 in animal health with superior margins and R&amp;D scale, Zoetis can out-invest Elanco in key therapeutic areas and pricing power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Animal health is relatively insulated from AI disruption — veterinary pharmaceuticals require physical manufacturing, regulatory approval, and biological complexity that AI cannot easily replicate. However, Elanco faces indirect AI risk from precision agriculture and AI-enabled livestock monitoring that could shift spending from prophylactic treatments to targeted interventions, potentially reducing demand for broad-spectrum products like Rumensin [2]. The company's own SEC filings acknowledge 'disruptive innovations and advances in veterinary medical practices' as a risk factor [2]. AI Opportunity (1/1): AI-enhanced drug discovery could accelerate Elanco's 170+ program pipeline, and digital transformation in veterinary diagnostics creates partnership opportunities. The monoclonal antibody platform could benefit from AI-driven protein engineering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Elanco Q4 and Full Year 2025 Earnings Release — $4.715B revenue, $892M innovation revenue,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Elanco Investor Day 2025 — Innovation pipeline, Big 6 products, monoclonal antibody platform, three-year outlook</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Elanco 4.0/5 rating, 75% CEO approval, culture concerns,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Elanco ESG Report 2023 and SEC Enforcement Action — $15M penalty, Healthy Purpose 2030 commitments, CO2e avoidance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ELAN (Elanco Animal Health),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