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ELDN</w:t>
      </w:r>
      <w:r>
        <w:rPr>
          <w:rFonts w:ascii="Calibri" w:hAnsi="Calibri"/>
          <w:b/>
          <w:color w:val="1A2010"/>
          <w:sz w:val="40"/>
        </w:rPr>
        <w:t xml:space="preserve">  Eledon Pharmaceuticals, Inc.</w:t>
      </w:r>
    </w:p>
    <w:p>
      <w:pPr>
        <w:spacing w:after="120"/>
      </w:pPr>
      <w:r>
        <w:rPr>
          <w:rFonts w:ascii="Calibri" w:hAnsi="Calibri"/>
          <w:b/>
          <w:color w:val="6E8450"/>
          <w:sz w:val="18"/>
        </w:rPr>
        <w:t>GROWTH SLEEVE · 2026-05-05 · Inspire: 32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Eledon Pharmaceuticals is a clinical-stage biotechnology company developing tegoprubart, an anti-CD40 Ligand antibody targeting transplant rejection and ALS. Lead programs include kidney allotransplantation (Phase 2 BESTOW trial), islet transplantation for Type 1 Diabetes (investigator-initiated at UChicago), and xenotransplantation (pig-to-human). Collaborations with eGenesis and NewcelX.</w:t>
      </w:r>
    </w:p>
    <w:p>
      <w:r>
        <w:rPr>
          <w:rFonts w:ascii="Calibri" w:hAnsi="Calibri"/>
          <w:b/>
          <w:color w:val="6E8450"/>
          <w:sz w:val="18"/>
        </w:rPr>
        <w:t>33 Employees · https://eledon.com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Eledon achieved multiple clinical milestones in 2025 — BESTOW Phase 2 showed non-inferiority versus tacrolimus with mean eGFR of 69 mL/min/1.73m2 at 12 months, six insulin-independent patients in islet transplant at UChicago, and tegoprubart used in four pig-to-human xenotransplants [1][2]. AI Deployment (0/2): No AI products or AI-driven efficiency gains evident for this clinical-stage biotech. Market Share (2/2): Tegoprubart occupies a unique position targeting CD40L pathway for transplant rejection without the nephrotoxicity and metabolic side effects of standard-of-care tacrolimus — a differentiated mechanism with first-mover potential in next-gen immunosuppression [1]. Pipeline (2/2): Clear pipeline with specific 2026 milestones — FDA Phase 3 design guidance expected, long-term data readouts across kidney, islet, and xeno programs [1]. R&amp;D Intensity (0/1): As a pre-revenue biotech, R&amp;D is the entirety of the business but cannot be meaningfully benchmarked on intensity.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Eledon's mission to protect transplanted organs and prevent rejection addresses a clear patient need — current immunosuppressants like tacrolimus cause diabetes, hypertension, and kidney damage — but the mission statement is functional rather than transformative [2]. Community Impact (1/2): The company's work enabling insulin independence for Type 1 Diabetes patients and supporting xenotransplantation (pig-to-human) has meaningful societal impact, though no formal charitable programs are identified for a 33-person company. Employee Retention (0/2): No retention data available for a micro-cap biotech with 33 employees. Insider Buying (1/2): CEO Dr. David-Alexandre Gros maintains equity exposure, and the $57.5M financing completed in 2025 extends runway to Q2 2027, showing investor confidence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Eledon is a pre-revenue clinical-stage biotech with zero commercial revenue and negative earnings. D/E of 0.47% is very low (favorable for balance sheet), but ROE is -35.8% reflecting net losses against equity [3]. Profit margin is 0% (no revenue to margin against). Forward P/E is negative (-4.7x) reflecting expected continued losses. The $57.5M financing provides runway to Q2 2027, but the company is entirely dependent on clinical success and future capital raises [1]. Only D/E scores favorably among available metrics. Liquidity floor cleared: $5.2M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Eledon plays a necessarily long game as a clinical-stage biotech — drug development inherently requires decade-plus time horizons. However, the company is too young and small (33 employees, no commercial revenue) to have been meaningfully tested on infinite game principles. The genuine patient-focused mission and long-term clinical investment demonstrate some infinite game characteristics.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Eledon's cause — eliminating the toxic side effects of transplant immunosuppression while protecting organ recipients — is genuinely purpose-driven and serves vulnerable patient populations [1][2]. Tacrolimus causes diabetes, hypertension, and nephrotoxicity in transplant patients; replacing it with a safer alternative is a clear patient-first mission. However, the cause hasn't been tested through extended adversity.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33 employees and experienced leadership (CEO from Neurocrine/Alnylam/Sanofi background), the team is lean and capable [2]. The recent additions of a Chief Medical Officer and CFO in 2025 suggest organizational maturation. However, at this size, trust dynamics are difficult to assess externally.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 a clinical-stage company focused on a novel mechanism (anti-CD40L), Eledon operates in a relatively uncontested niche. There is limited evidence of how the company positions itself relative to competitors in the transplant immunosuppression space or whether it acknowledges rivals'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pivoted from its original Novus Therapeutics identity (ear/sinus conditions) to Eledon Pharmaceuticals in 2021, completely reinventing itself around transplant immunology and the CD40L pathway [2]. This represents meaningful existential flexibility — abandoning one therapeutic area entirely for another with higher potential.</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Eledon has not yet faced meaningful tests of leadership courage — the company is in the early clinical development phase where courage is simply persisting through the drug development timeline. No evidence of difficult strategic trade-offs or sacrificing short-term gains for long-term capability beyond the standard biotech model.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Eledon Pharmaceuticals offers high-risk, high-reward exposure to next-generation transplant immunosuppression. Tegoprubart's Phase 2 BESTOW data demonstrated non-inferiority to tacrolimus with dramatically fewer metabolic side effects — new-onset diabetes in 2.1% vs. 16.7% of patients, and hypertension in 15.9% vs. 25% [1][2]. The islet transplant program achieved insulin independence in six Type 1 Diabetes patients at UChicago, and tegoprubart was used in four pig-to-human xenotransplants, positioning Eledon at the intersection of multiple transformative transplant medicine trends. FDA Phase 3 guidance expected in 2026 is the key near-term catalyst. The $57.5M financing provides runway to Q2 2027. At $292M market cap, the stock trades at a substantial discount to the potential market for safer immunosuppression across 40,000+ annual U.S. organ transplants.</w:t>
      </w:r>
    </w:p>
    <w:p>
      <w:pPr>
        <w:spacing w:after="120"/>
      </w:pPr>
      <w:r>
        <w:rPr>
          <w:rFonts w:ascii="Calibri" w:hAnsi="Calibri"/>
          <w:b w:val="0"/>
          <w:color w:val="3A4A28"/>
          <w:sz w:val="20"/>
        </w:rPr>
        <w:t>The bear case is significant for this pre-revenue, clinical-stage company. There is zero commercial revenue and forward EPS of -$0.80, meaning continued cash burn through at least 2027 [3]. Phase 3 trial design uncertainty — FDA guidance could require larger or longer trials than expected, increasing capital needs and time to market. The BESTOW Phase 2 results were described as 'mixed' by some analysts, with tegoprubart showing non-inferior kidney function but not clearly superior rejection prevention [2]. Capital markets risk is severe — the company will need additional financing beyond Q2 2027, and biotech funding markets are cyclical. Competition from belatacept (approved) and other CD40L programs (Amgen's teplizumab mechanism) could limit tegoprubart's addressable market. With only 33 employees and $292M market cap, execution risk and key-person risk are elevated.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FDA guidance on Phase 3 trial design for tegoprubart in kidney transplantation expected in 2026 — positive guidance could de-risk the regulatory pathway significantly [1]</w:t>
      </w:r>
    </w:p>
    <w:p>
      <w:pPr>
        <w:spacing w:before="40" w:after="40"/>
        <w:ind w:left="283"/>
      </w:pPr>
      <w:r>
        <w:rPr>
          <w:rFonts w:ascii="Calibri" w:hAnsi="Calibri"/>
          <w:b/>
          <w:color w:val="4A6B25"/>
          <w:sz w:val="20"/>
        </w:rPr>
        <w:t xml:space="preserve">2. </w:t>
      </w:r>
      <w:r>
        <w:rPr>
          <w:rFonts w:ascii="Calibri" w:hAnsi="Calibri"/>
          <w:b w:val="0"/>
          <w:color w:val="3A4A28"/>
          <w:sz w:val="20"/>
        </w:rPr>
        <w:t>Long-term data readouts from BESTOW Phase 2 and islet transplant programs in 2026, potentially demonstrating durable organ protection without tacrolimus toxicity [1][2]</w:t>
      </w:r>
    </w:p>
    <w:p>
      <w:pPr>
        <w:spacing w:before="40" w:after="40"/>
        <w:ind w:left="283"/>
      </w:pPr>
      <w:r>
        <w:rPr>
          <w:rFonts w:ascii="Calibri" w:hAnsi="Calibri"/>
          <w:b/>
          <w:color w:val="4A6B25"/>
          <w:sz w:val="20"/>
        </w:rPr>
        <w:t xml:space="preserve">3. </w:t>
      </w:r>
      <w:r>
        <w:rPr>
          <w:rFonts w:ascii="Calibri" w:hAnsi="Calibri"/>
          <w:b w:val="0"/>
          <w:color w:val="3A4A28"/>
          <w:sz w:val="20"/>
        </w:rPr>
        <w:t>Xenotransplantation momentum — pig-to-human transplant field is rapidly advancing, and tegoprubart's use in four procedures positions Eledon as an immunosuppression partner for eGenesis and others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risk — Phase 3 failure or FDA rejection would devastate the stock given zero commercial revenue and single-asset dependency on tegoprubart [1]</w:t>
      </w:r>
    </w:p>
    <w:p>
      <w:pPr>
        <w:spacing w:before="40" w:after="40"/>
        <w:ind w:left="283"/>
      </w:pPr>
      <w:r>
        <w:rPr>
          <w:rFonts w:ascii="Calibri" w:hAnsi="Calibri"/>
          <w:b/>
          <w:color w:val="4A6B25"/>
          <w:sz w:val="20"/>
        </w:rPr>
        <w:t xml:space="preserve">2. </w:t>
      </w:r>
      <w:r>
        <w:rPr>
          <w:rFonts w:ascii="Calibri" w:hAnsi="Calibri"/>
          <w:b w:val="0"/>
          <w:color w:val="3A4A28"/>
          <w:sz w:val="20"/>
        </w:rPr>
        <w:t>Capital depletion — $57.5M runway extends only to Q2 2027, requiring additional dilutive financing at uncertain terms before any commercial revenue [1]</w:t>
      </w:r>
    </w:p>
    <w:p>
      <w:pPr>
        <w:spacing w:before="40" w:after="40"/>
        <w:ind w:left="283"/>
      </w:pPr>
      <w:r>
        <w:rPr>
          <w:rFonts w:ascii="Calibri" w:hAnsi="Calibri"/>
          <w:b/>
          <w:color w:val="4A6B25"/>
          <w:sz w:val="20"/>
        </w:rPr>
        <w:t xml:space="preserve">3. </w:t>
      </w:r>
      <w:r>
        <w:rPr>
          <w:rFonts w:ascii="Calibri" w:hAnsi="Calibri"/>
          <w:b w:val="0"/>
          <w:color w:val="3A4A28"/>
          <w:sz w:val="20"/>
        </w:rPr>
        <w:t>Competitive displacement — belatacept (Bristol-Myers) is already approved for transplant rejection, and larger pharma companies could develop superior CD40L-targeting molecules with faster timelines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Eledon's business is fundamentally protected from AI disruption — drug development requires physical clinical trials, FDA regulatory approval, biological validation in human patients, and manufacturing of biological molecules that AI cannot replicate or substitute [2]. The transplant immunosuppression space requires decade-long clinical validation. However, AI-driven drug discovery competitors could accelerate rival programs. AI is neither a threat to Eledon's existing pipeline nor a meaningful contributor to its current operations. AI Opportunity (1/1): While Eledon doesn't sell AI products, AI tools are increasingly used in drug design and clinical trial optimization, and the company could benefit from AI-enhanced patient selection and biomarker discovery in future trials.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Eledon Pharmaceuticals 2026 Outlook Press Release — BESTOW Phase 2 results, islet transplant data, xenotransplant milestones, $57.5M financing, January 2026</w:t>
      </w:r>
    </w:p>
    <w:p>
      <w:pPr>
        <w:spacing w:before="20" w:after="20"/>
        <w:ind w:left="170"/>
      </w:pPr>
      <w:r>
        <w:rPr>
          <w:rFonts w:ascii="Calibri" w:hAnsi="Calibri"/>
          <w:b/>
          <w:color w:val="4A6B25"/>
          <w:sz w:val="15"/>
        </w:rPr>
        <w:t xml:space="preserve">2. </w:t>
      </w:r>
      <w:r>
        <w:rPr>
          <w:rFonts w:ascii="Calibri" w:hAnsi="Calibri"/>
          <w:b w:val="0"/>
          <w:color w:val="3A4A28"/>
          <w:sz w:val="17"/>
        </w:rPr>
        <w:t>Eledon Pharmaceuticals corporate website and Clinical Trials Arena — tegoprubart mechanism, safety data, Phase 2 vs. tacrolimus comparison, accessed May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ELDN (Eledon Pharmaceuticals), retrieved May 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