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ELS</w:t>
      </w:r>
      <w:r>
        <w:rPr>
          <w:rFonts w:ascii="Calibri" w:hAnsi="Calibri"/>
          <w:b/>
          <w:color w:val="1A2010"/>
          <w:sz w:val="40"/>
        </w:rPr>
        <w:t xml:space="preserve">  Equity LifeStyle Properties, Inc.</w:t>
      </w:r>
    </w:p>
    <w:p>
      <w:pPr>
        <w:spacing w:after="120"/>
      </w:pPr>
      <w:r>
        <w:rPr>
          <w:rFonts w:ascii="Calibri" w:hAnsi="Calibri"/>
          <w:b/>
          <w:color w:val="6E8450"/>
          <w:sz w:val="18"/>
        </w:rPr>
        <w:t>DIVIDEND SLEEVE · 2026-04-20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Equity LifeStyle Properties, Inc. is a self-administered, self-managed real estate investment trust that owns or has interests in 453 properties across 35 states and British Columbia, comprising 173,355 sites. The company operates manufactured housing communities, RV resorts, campgrounds, and marinas, with 63% of revenue from manufactured housing, 23% from RV/marinas, and 6% from membership subscriptions.</w:t>
      </w:r>
    </w:p>
    <w:p>
      <w:r>
        <w:rPr>
          <w:rFonts w:ascii="Calibri" w:hAnsi="Calibri"/>
          <w:b/>
          <w:color w:val="6E8450"/>
          <w:sz w:val="18"/>
        </w:rPr>
        <w:t>3,700 Employees · https://www.equitylifestyleproperties.com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ELS has steadily expanded its portfolio from approximately 400 to 453 properties over the past five years through disciplined acquisitions and site development, growing sites to 173,355 — incremental execution rather than transformative innovation, consistent with a REIT model focused on operational efficiency [1][2]. AI Deployment (0/2): No evidence of AI-powered products or specific AI-driven cost savings was identified; the company's technology investment focuses on property management systems and resident-facing digital tools rather than AI deployment [3]. Market Share (2/2): ELS is one of the two dominant manufactured housing community REITs alongside Sun Communities (SUI), controlling a significant share of the institutional-quality manufactured housing and RV resort market — a sector with high barriers to entry and limited institutional competition [1][4]. Pipeline (1/2): The company has a visible development pipeline through expansion sites at existing properties and selective acquisitions, with 2026 guidance projecting 4.1-5.1% property revenue growth. However, specific named development projects with timelines were not identified [2]. R&amp;D Intensity (1/1): ELS invests in property improvements, amenity upgrades, and technology systems at rates above peer average for manufactured housing REITs, though R&amp;D is minimal in the traditional sense for a REIT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ELS's stated purpose centers on providing quality lifestyle-oriented properties as desirable destinations, connecting the business to affordable housing access and outdoor recreation — clear and relevant but not deeply distinctive from peer REITs operating in the same space [5]. Community Impact (1/2): ELS operates manufactured housing communities that provide affordable housing alternatives — inherently serving a social need. The company has published sustainability reports since 2019 and maintains policies on business ethics, human rights, and anti-corruption, though no specific charitable foundation or dollar amounts for community investment were identified [5][6]. Employee Retention (1/2): CEO Marguerite Nader has served since February 2013 with a 13-year tenure, and Comparably ranks ELS's executive team in the top 5% for similar-sized companies. However, Glassdoor rating of 3.3/5 with only 59% recommending the company and 3.1/5 for culture and values suggests average employee engagement below the company's leadership quality [3][7]. Insider Buying (1/2): CEO Nader's 13-year tenure through multiple market cycles demonstrates exceptional leadership conviction and alignment with the long-term story, though specific recent open-market insider purchase amounts were not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ELS's financial infrastructure is robust for a residential REIT: ROE of 22.1%, profit margin of 25.1%, and gross margins of 53.2% reflect the high-quality, asset-light manufactured housing model [1][2]. The 10-year dividend CAGR of 10.6% with 2026 dividend up 5.3% to $2.17/share demonstrates exceptional income growth, and normalized FFO per share grew 5.0% to $3.06 in 2025 with 8.2% FFO per share CAGR from 2006-2025. D/E of 184.5% is elevated but typical for REITs with stable cash flows; the payout ratio of 102.5% on GAAP earnings is at the floor, though REITs should be evaluated on FFO payout which is lower (~71%). Revenue growth of 0.5% YoY is modest, reflecting the company's mature, cash-generative model. Forward P/E of 30x is premium but supported by the scarcity value of institutional-quality manufactured housing assets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ELS demonstrates strong infinite-game characteristics rooted in CEO Marguerite Nader's 13-year tenure and the company's 30+ year track record of compounding through manufactured housing community ownership — a business inherently designed for decades-long holding periods. The 10.6% 10-year dividend CAGR and 8.2% FFO per share CAGR from 2006-2025 validate long-term execution. However, the below-average Glassdoor scores (3.3/5) and REIT structural constraints on reinvestment introduce mixed signals [1][3].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ELS's implicit cause — providing quality, affordable lifestyle communities where residents can build long-term homes — is genuine, service-oriented, and inclusive. The manufactured housing model directly addresses the affordable housing crisis by providing homeownership opportunities at a fraction of traditional home costs. The cause has been consistently pursued since the company's 1992 founding through multiple market cycles. However, the purpose is not explicitly articulated as a transformative vision — it reads more as a quality real estate operating philosophy than a bold mission to change the world [1][5].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Comparably ranks ELS's executive team in the top 5% for similar-sized companies, and the company's four core values — enthusiasm, empathy, communication, and ownership — suggest intentional culture building. However, Glassdoor reviews (3.3/5, 3.1 for culture/values, 59% recommendation) indicate below-average employee engagement, with some reviews citing work-life balance challenges at property-level operations where 3,700 employees manage 453 properties [3][7].</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(2/2): ELS operates alongside Sun Communities (SUI) as the two dominant institutional-quality manufactured housing REITs, maintaining a disciplined competitive approach focused on portfolio quality and operational excellence rather than aggressive share-taking. The company's strategy emphasizes organic growth through site development and amenity investment rather than debt-fueled acquisitions to surpass rivals [1][4].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ELS has demonstrated strategic flexibility by expanding from manufactured housing into RV resorts and marinas, diversifying its lifestyle property portfolio. The RV and marina segments now represent 23% of revenue, providing optionality beyond core manufactured housing. However, these are adjacent real estate categories — the company remains fundamentally a lifestyle community REIT and has not made the kind of dramatic pivot Sinek envisions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Nader has maintained consistent strategic discipline through 13 years of leadership, resisting the temptation to chase high-growth acquisitions that other REITs pursued during low-rate environments. The decision to increase the 2026 dividend by 5.3% while guiding for moderate FFO growth signals confidence in the long-term compounding model. ELS maintained investment in property improvements and amenity upgrades through COVID-19 when RV and marina operations were severely disrupted, demonstrating willingness to invest through adversity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Equity LifeStyle Properties is a premier manufactured housing and lifestyle community REIT with 453 properties and 173,355 sites, offering one of the most predictable cash flow profiles in real estate — 63% of revenue from annual manufactured housing leases with near-100% occupancy. The 10.6% 10-year dividend CAGR, 8.2% FFO per share CAGR from 2006-2025, and 3.3% current yield make ELS a rare compounder in the income space [1][2]. CEO Nader's 13-year tenure provides exceptional leadership stability.</w:t>
      </w:r>
    </w:p>
    <w:p>
      <w:pPr>
        <w:spacing w:after="120"/>
      </w:pPr>
      <w:r>
        <w:rPr>
          <w:rFonts w:ascii="Calibri" w:hAnsi="Calibri"/>
          <w:b w:val="0"/>
          <w:color w:val="3A4A28"/>
          <w:sz w:val="20"/>
        </w:rPr>
        <w:t>The HOLD rating reflects high business quality and dividend growth tempered by a premium valuation (forward P/E of 30x, trailing P/E of 33x) and modest near-term growth (0.5% revenue growth YoY, 2026 FFO guidance of only 2-5% growth). The manufactured housing sector faces structural tailwinds from the affordability crisis, but ELS's mature portfolio limits upside to mid-single-digit growth. The 102.5% GAAP payout ratio is a technical concern for income investors, though FFO-based payout (~71%) is healthy. This is a core income holding for patient investors willing to accept modest growth in exchange for exceptional stability and dividend growth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annual dividend of $2.17/share represents 5.3% growth, extending the 10.6% 10-year dividend CAGR and 19% dividend per share CAGR from 2006-2025 [1][2]</w:t>
      </w:r>
    </w:p>
    <w:p>
      <w:pPr>
        <w:spacing w:before="40" w:after="40"/>
        <w:ind w:left="283"/>
      </w:pPr>
      <w:r>
        <w:rPr>
          <w:rFonts w:ascii="Calibri" w:hAnsi="Calibri"/>
          <w:b/>
          <w:color w:val="4A6B25"/>
          <w:sz w:val="20"/>
        </w:rPr>
        <w:t xml:space="preserve">2. </w:t>
      </w:r>
      <w:r>
        <w:rPr>
          <w:rFonts w:ascii="Calibri" w:hAnsi="Calibri"/>
          <w:b w:val="0"/>
          <w:color w:val="3A4A28"/>
          <w:sz w:val="20"/>
        </w:rPr>
        <w:t>Affordable housing crisis driving structural demand for manufactured housing communities — the lowest-cost homeownership option in America — with near-100% occupancy providing pricing power [1]</w:t>
      </w:r>
    </w:p>
    <w:p>
      <w:pPr>
        <w:spacing w:before="40" w:after="40"/>
        <w:ind w:left="283"/>
      </w:pPr>
      <w:r>
        <w:rPr>
          <w:rFonts w:ascii="Calibri" w:hAnsi="Calibri"/>
          <w:b/>
          <w:color w:val="4A6B25"/>
          <w:sz w:val="20"/>
        </w:rPr>
        <w:t xml:space="preserve">3. </w:t>
      </w:r>
      <w:r>
        <w:rPr>
          <w:rFonts w:ascii="Calibri" w:hAnsi="Calibri"/>
          <w:b w:val="0"/>
          <w:color w:val="3A4A28"/>
          <w:sz w:val="20"/>
        </w:rPr>
        <w:t>Core property income growth of 5.1-6.1% guided for 2026, exceeding the company's long-term quarterly average of 4.5%, suggesting operational momentum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(30x forward P/E) leaves limited upside if FFO growth decelerates below the 2-5% 2026 guidance range, particularly if interest rates remain elevated [1][2]</w:t>
      </w:r>
    </w:p>
    <w:p>
      <w:pPr>
        <w:spacing w:before="40" w:after="40"/>
        <w:ind w:left="283"/>
      </w:pPr>
      <w:r>
        <w:rPr>
          <w:rFonts w:ascii="Calibri" w:hAnsi="Calibri"/>
          <w:b/>
          <w:color w:val="4A6B25"/>
          <w:sz w:val="20"/>
        </w:rPr>
        <w:t xml:space="preserve">2. </w:t>
      </w:r>
      <w:r>
        <w:rPr>
          <w:rFonts w:ascii="Calibri" w:hAnsi="Calibri"/>
          <w:b w:val="0"/>
          <w:color w:val="3A4A28"/>
          <w:sz w:val="20"/>
        </w:rPr>
        <w:t>GAAP payout ratio of 102.5% exceeds earnings — while FFO-based payout is healthier, any sustained decline in FFO would pressure the dividend growth story [2]</w:t>
      </w:r>
    </w:p>
    <w:p>
      <w:pPr>
        <w:spacing w:before="40" w:after="40"/>
        <w:ind w:left="283"/>
      </w:pPr>
      <w:r>
        <w:rPr>
          <w:rFonts w:ascii="Calibri" w:hAnsi="Calibri"/>
          <w:b/>
          <w:color w:val="4A6B25"/>
          <w:sz w:val="20"/>
        </w:rPr>
        <w:t xml:space="preserve">3. </w:t>
      </w:r>
      <w:r>
        <w:rPr>
          <w:rFonts w:ascii="Calibri" w:hAnsi="Calibri"/>
          <w:b w:val="0"/>
          <w:color w:val="3A4A28"/>
          <w:sz w:val="20"/>
        </w:rPr>
        <w:t>Glassdoor rating of 3.3/5 with only 59% recommending ELS suggests workforce engagement challenges that could impact property-level operations and resident satisfaction across 453 communities [3][7]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ELS's core business — owning and operating physical manufactured housing communities, RV resorts, and marinas — is structurally immune to AI disruption [1][4]. AI cannot replace physical land, housing sites, or the lifestyle experience of living in a manufactured home community. The business involves deeply local, physical-world operations with regulatory protections (zoning, entitlements) that create permanent barriers. Manufactured housing demand is driven by housing affordability — a structural need AI amplifies rather than addresses, as AI-driven productivity gains do not build affordable housing. The 453 properties across 35 states represent irreplaceable physical infrastructure [1]. AI Opportunity (1/1): ELS can deploy AI for property management optimization, predictive maintenance, dynamic pricing for RV sites, and resident services automation. The company's 173,355 sites generate operational data that AI can leverage for yield optimization, and management has emphasized innovation and forward-thinking approaches to driving the business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Equity LifeStyle Properties Q4 2025 Earnings Call and Full Year 2025 Results, January 2026</w:t>
      </w:r>
    </w:p>
    <w:p>
      <w:pPr>
        <w:spacing w:before="20" w:after="20"/>
        <w:ind w:left="170"/>
      </w:pPr>
      <w:r>
        <w:rPr>
          <w:rFonts w:ascii="Calibri" w:hAnsi="Calibri"/>
          <w:b/>
          <w:color w:val="4A6B25"/>
          <w:sz w:val="15"/>
        </w:rPr>
        <w:t xml:space="preserve">2. </w:t>
      </w:r>
      <w:r>
        <w:rPr>
          <w:rFonts w:ascii="Calibri" w:hAnsi="Calibri"/>
          <w:b w:val="0"/>
          <w:color w:val="3A4A28"/>
          <w:sz w:val="17"/>
        </w:rPr>
        <w:t>Equity LifeStyle Properties 2026 FFO Guidance and Dividend Plan — StockTitan SEC Filing, January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 Equity LifeStyle Properties,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Equity LifeStyle Properties Manufactured Housing Market Position — DataInsightsMarket Analysis,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Equity LifeStyle Properties Corporate Website — About and Sustainability,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Equity LifeStyle Properties Sustainability Reports (2019-2025), accessed April 2026</w:t>
      </w:r>
    </w:p>
    <w:p>
      <w:pPr>
        <w:spacing w:before="20" w:after="20"/>
        <w:ind w:left="170"/>
      </w:pPr>
      <w:r>
        <w:rPr>
          <w:rFonts w:ascii="Calibri" w:hAnsi="Calibri"/>
          <w:b/>
          <w:color w:val="4A6B25"/>
          <w:sz w:val="15"/>
        </w:rPr>
        <w:t xml:space="preserve">7. </w:t>
      </w:r>
      <w:r>
        <w:rPr>
          <w:rFonts w:ascii="Calibri" w:hAnsi="Calibri"/>
          <w:b w:val="0"/>
          <w:color w:val="3A4A28"/>
          <w:sz w:val="17"/>
        </w:rPr>
        <w:t>Comparably Executive Team Rankings — Equity LifeStyle Properties,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