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EMBJ</w:t>
      </w:r>
      <w:r>
        <w:rPr>
          <w:rFonts w:ascii="Calibri" w:hAnsi="Calibri"/>
          <w:b/>
          <w:color w:val="1A2010"/>
          <w:sz w:val="40"/>
        </w:rPr>
        <w:t xml:space="preserve">  Embraer S.A.</w:t>
      </w:r>
    </w:p>
    <w:p>
      <w:pPr>
        <w:spacing w:after="120"/>
      </w:pPr>
      <w:r>
        <w:rPr>
          <w:rFonts w:ascii="Calibri" w:hAnsi="Calibri"/>
          <w:b/>
          <w:color w:val="6E8450"/>
          <w:sz w:val="18"/>
        </w:rPr>
        <w:t>GROWTH SLEEVE · 2026-05-02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Brazil</w:t>
      </w:r>
    </w:p>
    <w:p>
      <w:pPr>
        <w:spacing w:after="80"/>
      </w:pPr>
      <w:r>
        <w:rPr>
          <w:rFonts w:ascii="Calibri" w:hAnsi="Calibri"/>
          <w:b w:val="0"/>
          <w:color w:val="3A4A28"/>
          <w:sz w:val="20"/>
        </w:rPr>
        <w:t>Embraer S.A. designs, develops, manufactures, and sells aircraft and systems worldwide across Commercial Aviation, Defense &amp; Security, Executive Aviation, and Services &amp; Support segments. It is the world's third-largest aircraft manufacturer by deliveries.</w:t>
      </w:r>
    </w:p>
    <w:p>
      <w:r>
        <w:rPr>
          <w:rFonts w:ascii="Calibri" w:hAnsi="Calibri"/>
          <w:b/>
          <w:color w:val="6E8450"/>
          <w:sz w:val="18"/>
        </w:rPr>
        <w:t>21,122 Employees · https://embraer.com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Embraer demonstrates strong innovation through its Embraer-X corporate innovation arm, led by a dedicated Chief Innovation Officer, exploring urban air mobility and next-generation aviation technologies [1][3]. The company delivered record revenue of $7.58B in 2025 (+18% YoY) with a $32.1B backlog representing six consecutive all-time highs [1][4]. R&amp;D investment in sustainable aviation fuels, electric propulsion, and defense systems positions the company at the technological frontier of regional aviation.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Embraer maintains exceptional employee engagement with a 4.3/5 Glassdoor rating, 87% employee recommendation rate, and Great Place to Work certification with 80% positive sentiment vs. 57% industry average [3]. CEO Francisco Gomes Neto leads with an engineering-driven culture emphasizing precision, collaboration, and continuous improvement. The company's mission around sustainable aviation and Brazilian national pride creates authentic purpose beyond profit.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growth trajectory with 2025 revenue at $7.58B (+18% YoY) and 2026 guidance of $8.2-8.5B representing continued double-digit growth [1][2]. Forward P/E of 17.1 is reasonable for aerospace growth, D/E of 73% is moderate, and earnings growth of 71% signals operational leverage improving. Profit margin of 4.7% is thin for the sector but expanding with scale. Liquidity floor: 1.42M × $62.61 = $88.9M daily turnover, well above threshold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Embraer exemplifies infinite game thinking through multi-decade aircraft development programs, commitment to sustainable aviation by 2040, and investments in next-generation mobility platforms that may not generate returns for years. The $32.1B backlog represents long-term customer commitment built on trust and reliability [4].</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Embraer's purpose of connecting people and enabling regional mobility, combined with aggressive sustainability targets (carbon-neutral operations by 2040, 100% renewable energy by 2030), represents a genuine just cause beyond shareholder returns [5]. As Brazil's largest aerospace employer, the company serves national development goals while pursuing global aviation innovation.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Great Place to Work certification with 80% positive ratings demonstrates genuine employee trust [3]. The engineering-driven culture fosters collaboration across 21,000+ employees globally. High recommendation rate (87%) and positive business outlook (78%) indicate teams aligned with company direction and confident in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Embraer competes against Boeing, Airbus, and Bombardier across segments, using rivals to drive continuous improvement in the E-Jet E2 family and Praetor business jets. The company has carved a defensible niche in the 70-150 seat regional segment where larger competitors are less focused, learning from rival innovations while maintaining distinct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Demonstrated existential flexibility through the creation of Embraer-X for urban air mobility (Eve Air Mobility), expansion into defense electronics, and pivot toward services &amp; support as a revenue diversifier. The company survived the failed Boeing joint venture by strengthening its independent capabilities and diversifying across four business segments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Embraer showed courage in walking away from the Boeing partnership when terms proved unfavorable, investing heavily in sustainable aviation before regulatory mandates, and setting industry-leading ESG targets including 25% women in engineering programs [5]. CEO Gomes Neto has led aggressive production expansion despite supply chain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Embraer is a best-in-class aerospace manufacturer experiencing a structural growth inflection with record backlogs ($32.1B), accelerating deliveries, and expanding margins. The company's dominant position in regional aviation, diversified defense/executive segments, and innovation pipeline create a compelling multi-year growth story trading at a reasonable forward multiple.</w:t>
      </w:r>
    </w:p>
    <w:p>
      <w:pPr>
        <w:spacing w:after="120"/>
      </w:pPr>
      <w:r>
        <w:rPr>
          <w:rFonts w:ascii="Calibri" w:hAnsi="Calibri"/>
          <w:b w:val="0"/>
          <w:color w:val="3A4A28"/>
          <w:sz w:val="20"/>
        </w:rPr>
        <w:t>The 2026 revenue guidance of $8.2-8.5B represents continued double-digit growth supported by 240-255 aircraft deliveries. Margin expansion from operational leverage and services mix shift should drive earnings growth well above revenue growth. Key watch items include supply chain execution risk, Brazilian currency exposure, and the pace of Eve Air Mobility commercialization. The stock deserves a premium multiple given visibility and execution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$32.1B backlog (sixth consecutive all-time high, +22% YoY) provides multi-year revenue visibility and delivery acceleration</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services &amp; support revenue mix shift and manufacturing scale economies toward 9%+ EBIT margin target</w:t>
      </w:r>
    </w:p>
    <w:p>
      <w:pPr>
        <w:spacing w:before="40" w:after="40"/>
        <w:ind w:left="283"/>
      </w:pPr>
      <w:r>
        <w:rPr>
          <w:rFonts w:ascii="Calibri" w:hAnsi="Calibri"/>
          <w:b/>
          <w:color w:val="4A6B25"/>
          <w:sz w:val="20"/>
        </w:rPr>
        <w:t xml:space="preserve">3. </w:t>
      </w:r>
      <w:r>
        <w:rPr>
          <w:rFonts w:ascii="Calibri" w:hAnsi="Calibri"/>
          <w:b w:val="0"/>
          <w:color w:val="3A4A28"/>
          <w:sz w:val="20"/>
        </w:rPr>
        <w:t>Defense &amp; Security segment growing 36% YoY with expanding international military contracts beyond Brazil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Supply chain constraints in aerospace (engines, avionics) could delay deliveries and compress near-term margins</w:t>
      </w:r>
    </w:p>
    <w:p>
      <w:pPr>
        <w:spacing w:before="40" w:after="40"/>
        <w:ind w:left="283"/>
      </w:pPr>
      <w:r>
        <w:rPr>
          <w:rFonts w:ascii="Calibri" w:hAnsi="Calibri"/>
          <w:b/>
          <w:color w:val="4A6B25"/>
          <w:sz w:val="20"/>
        </w:rPr>
        <w:t xml:space="preserve">2. </w:t>
      </w:r>
      <w:r>
        <w:rPr>
          <w:rFonts w:ascii="Calibri" w:hAnsi="Calibri"/>
          <w:b w:val="0"/>
          <w:color w:val="3A4A28"/>
          <w:sz w:val="20"/>
        </w:rPr>
        <w:t>Brazilian Real currency volatility creates earnings translation risk for USD-reporting investors</w:t>
      </w:r>
    </w:p>
    <w:p>
      <w:pPr>
        <w:spacing w:before="40" w:after="40"/>
        <w:ind w:left="283"/>
      </w:pPr>
      <w:r>
        <w:rPr>
          <w:rFonts w:ascii="Calibri" w:hAnsi="Calibri"/>
          <w:b/>
          <w:color w:val="4A6B25"/>
          <w:sz w:val="20"/>
        </w:rPr>
        <w:t xml:space="preserve">3. </w:t>
      </w:r>
      <w:r>
        <w:rPr>
          <w:rFonts w:ascii="Calibri" w:hAnsi="Calibri"/>
          <w:b w:val="0"/>
          <w:color w:val="3A4A28"/>
          <w:sz w:val="20"/>
        </w:rPr>
        <w:t>High trailing P/E of 32.6x leaves limited margin of safety if growth execution disappoints or tariffs escalate beyond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Aerospace manufacturing has high barriers to AI disruption due to regulatory certification requirements, physical complexity of aircraft production, and decades-long product lifecycles [1]. AI serves as an enabler for Embraer through digital twin technology, predictive maintenance services, and manufacturing optimization rather than a threat. Embraer-X's innovation lab actively explores AI applications in flight systems and urban air mobility, positioning the company to benefit from automation trends rather than be displaced by them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Embraer FY2025 Earnings Release — 4Q25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Embraer forecasts $8.5B in 2026 revenue,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 Embraer Reviews (4,178 reviews) and Great Place to Work certification,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Aircraft Insider — Embraer Posts Record $2.1B Q1 2026 Backlog, April 2026</w:t>
      </w:r>
    </w:p>
    <w:p>
      <w:pPr>
        <w:spacing w:before="20" w:after="20"/>
        <w:ind w:left="170"/>
      </w:pPr>
      <w:r>
        <w:rPr>
          <w:rFonts w:ascii="Calibri" w:hAnsi="Calibri"/>
          <w:b/>
          <w:color w:val="4A6B25"/>
          <w:sz w:val="15"/>
        </w:rPr>
        <w:t xml:space="preserve">5. </w:t>
      </w:r>
      <w:r>
        <w:rPr>
          <w:rFonts w:ascii="Calibri" w:hAnsi="Calibri"/>
          <w:b w:val="0"/>
          <w:color w:val="3A4A28"/>
          <w:sz w:val="17"/>
        </w:rPr>
        <w:t>Embraer ESG — Corporate Sustainability Strategy and Climate Commitments,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Aviation Week — Embraer Plots Path to Sustainable Future,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EMBJ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