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EMN</w:t>
      </w:r>
      <w:r>
        <w:rPr>
          <w:rFonts w:ascii="Calibri" w:hAnsi="Calibri"/>
          <w:b/>
          <w:color w:val="1A2010"/>
          <w:sz w:val="40"/>
        </w:rPr>
        <w:t xml:space="preserve">  Eastman Chemical Company</w:t>
      </w:r>
    </w:p>
    <w:p>
      <w:pPr>
        <w:spacing w:after="120"/>
      </w:pPr>
      <w:r>
        <w:rPr>
          <w:rFonts w:ascii="Calibri" w:hAnsi="Calibri"/>
          <w:b/>
          <w:color w:val="6E8450"/>
          <w:sz w:val="18"/>
        </w:rPr>
        <w:t>DIVIDEND SLEEVE · 2026-04-22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Eastman Chemical Company is a global specialty materials company producing a broad range of advanced materials, additives and functional products, chemicals, and fibers. Spun off from Eastman Kodak in 1994 and headquartered in Kingsport, Tennessee, the company serves customers in transportation, building and construction, consumables, and industrial end markets across approximately 100 countries.</w:t>
      </w:r>
    </w:p>
    <w:p>
      <w:r>
        <w:rPr>
          <w:rFonts w:ascii="Calibri" w:hAnsi="Calibri"/>
          <w:b/>
          <w:color w:val="6E8450"/>
          <w:sz w:val="18"/>
        </w:rPr>
        <w:t>13,000 Employees · https://www.eastman.com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Eastman has invested in circular economy and molecular recycling technology (Eastman Tritan Renew using recycled content), representing a meaningful sustainability-driven product innovation. However, overall revenue has declined from $10.6B (2022) to $8.75B (2025), and no transformative new business lines or pivots have materialized in the last 5 years [1]. AI Deployment (1/2): Eastman's digital Core service platform earned a CIO 100 award, and the company has deployed digital solutions internally to improve efficiency and customer experience, but no specific AI-powered products shipping to customers or quantified AI-driven cost savings have been reported [3]. Market Share (2/2): Eastman holds leadership positions in several specialty chemical niches including cellulose esters, specialty plasticizers, and advanced interlayers (Saflex), with differentiated products that command premium pricing and create switching costs [1][2]. Pipeline (1/2): Molecular recycling technology and Tritan Renew represent next-generation sustainable materials, and CEO Costa targets $100M in cost savings plus $50-75M in asset utilization improvements for 2026, but no specific product launches with timelines were announced [1]. R&amp;D Intensity (0/1): R&amp;D spending is in line with specialty chemical peers but not top-quartile.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Eastman's purpose — 'Enhancing the quality of life in a material way' — is specific and thoughtful, connecting the company's specialty materials to broader societal improvement. The circular economy commitment and molecular recycling investments demonstrate the purpose is guiding strategic decisions, not just marketing. CEO Costa has held this vision through a decade of leadership [2][3]. Community Impact (1/2): Eastman employs 13,000 people, is the largest employer in Kingsport, Tennessee, and has community investment programs. The sustainability report and carbon neutrality commitment by 2050 demonstrate environmental responsibility [4]. However, no specific charitable programs or dollar amounts were found. Employee Retention (1/2): Eastman received Glassdoor Best Places to Work awards in 2014-2016 and invested in a coaching culture, but more recent reviews note deteriorating culture — a 'reward this-year, punish next-year' Harvard matrix approach and leadership that can feel 'toxic and demoralizing' at the highest levels [3]. This suggests retention may be eroding. Insider Buying (1/2): CEO Costa has served for 12 years with significant equity exposure through compensation, demonstrating long-term commitment, though no specific recent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Eastman's infrastructure presents a mixed picture of valuation strength against deteriorating profitability. Forward P/E of 10.6x is attractive for a specialty chemical company with differentiated products and brand moats [6]. D/E of 84% is manageable for a capital-intensive business. However, revenue declined 12.1% YoY to $8.75B and the 3yr CAGR is -6.1%, reflecting demand weakness across end markets [1][6]. Net income fell sharply from $905M (2024) to $474M (2025), with profit margin compressing to 5.4% and ROE declining to 8.0% — both well below targets [1]. The dividend profile shows resilience: 30+ consecutive years paid since the 1994 Kodak spinoff, 14 consecutive years of growth, and a 4.61% current yield [6]. However, the payout ratio of 81.2% is elevated given earnings weakness — $474M net income vs. ~$382M in annual dividends leaves minimal cushion. FCF of $399M and operating cash flow of $970M support the dividend near-term [6]. Liquidity floor cleared: 1.72M avg volume × $72.46 = $124.8M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Eastman under CEO Costa's 12-year tenure displays elements of infinite game thinking — the molecular recycling investment and sustainability commitment represent genuine long-term bets that prioritize future relevance over near-term returns. However, the deteriorating internal culture, 'reward this-year, punish next-year' management approach, and sharp earnings decline suggest the organization may be drifting toward finite game behaviors under earnings pressure, even as the CEO articulates an infinite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'Enhancing the quality of life in a material way' is a genuine purpose that connects specialty materials production to societal benefit. The molecular recycling investment — committing significant CapEx to circular economy technology before it's profitable — suggests the cause guides strategic decisions. Costa's 12-year tenure and consistent emphasis on innovation and sustainability through multiple market cycles demonstrate the purpose has durability. However, it hasn't yet been tested through a truly existential crisis that would prove it's the competitive advantage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Eastman has a mixed cultural profile. The company earned Glassdoor Best Places to Work awards (2014-2016) and invested in coaching culture, suggesting a historical foundation of trust [3]. However, recent reviews describe deteriorating culture — a Harvard matrix driving short-term incentives, leadership that feels 'toxic and demoralizing,' and a sense that what made the company great is being lost. CEO Costa's 12-year tenure provides stability at the top, but the cultural concerns at lower levels suggest trust is adequate but eroding.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Eastman competes with Dow, DuPont, BASF, and Celanese in specialty chemicals, and management acknowledges these competitors' strengths in specific product categories. The company's focus on differentiated products (Tritan, Saflex) rather than commodity chemicals demonstrates a strategy refined by competitive awareness. Costa has framed Eastman's innovation-driven approach as a response to commodity chemical competitors' scale advantages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Eastman has evolved from its Kodak chemical origins to become a specialty materials company, and the current molecular recycling investment represents a meaningful strategic evolution toward circular economy. The shift from commodity to specialty chemicals over the past two decades shows adaptive capability. However, the core business model — manufacturing and selling specialty chemicals — has not fundamentally changed, and the molecular recycling initiative is still early-stage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Costa has pursued the molecular recycling investment and circular economy strategy during challenging market conditions, committing CapEx to technology that won't generate returns for years. The $100M cost reduction target for 2026 alongside innovation investment shows willingness to restructure while investing in the future [1]. However, the deteriorating culture reviews and 'punish next-year' management approach suggest courage may be limited to the CEO level without cascading through the organization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Eastman Chemical offers a deep value opportunity at 10.6x forward earnings with a 4.61% dividend yield backed by 14 consecutive years of dividend growth and 30+ years of consecutive payments since its 1994 Kodak spinoff [1][6]. CEO Costa sees $5.50–$6.00 EPS as achievable in 2026, driven by $100M in cost savings, $50–$75M in asset utilization improvements, and stabilizing end-market demand [1]. The company's differentiated specialty materials portfolio (Tritan, Saflex, cellulose esters) creates switching costs and pricing power that commodity chemical companies lack. The molecular recycling and circular economy investments position Eastman for long-term relevance as regulatory pressure for sustainable materials intensifies. Operating cash flow of $970M and FCF of $399M support the dividend and strategic investments [6].</w:t>
      </w:r>
    </w:p>
    <w:p>
      <w:pPr>
        <w:spacing w:after="120"/>
      </w:pPr>
      <w:r>
        <w:rPr>
          <w:rFonts w:ascii="Calibri" w:hAnsi="Calibri"/>
          <w:b w:val="0"/>
          <w:color w:val="3A4A28"/>
          <w:sz w:val="20"/>
        </w:rPr>
        <w:t>The bear case is significant. Revenue has declined from $10.6B (2022) to $8.75B (2025), a 17% contraction over three years with a -6.1% CAGR, reflecting sustained demand weakness across transportation, construction, and industrial end markets [1][6]. Net income collapsed 48% from $905M to $474M in 2025, compressing profit margin to 5.4% and ROE to 8.0%. The payout ratio has ballooned to 81% — dangerously high for a cyclical specialty chemical company, and dividend growth of 2.7% CAGR barely exceeds inflation. Cultural deterioration flagged in Glassdoor reviews ('toxic,' 'demoralizing,' 'losing what made the company great') threatens innovation and talent retention under Costa's 12-year tenure [3]. Forward guidance lacks a specific EPS range due to 'significant macroeconomic uncertainty,' a red flag for earnings visibility [1]. The PEG ratio of 3.6x suggests the market prices in very limited growth. Tariff and trade headwinds in 2026 could further pressure demand in key end markets. The stock's 52-week range suggests significant downside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Cost reduction program — $100M target for 2026 plus $50–$75M in asset utilization improvements could lift EPS toward the $5.50–$6.00 range CEO Costa has outlined, representing 30%+ upside from depressed 2025 earnings [1]</w:t>
      </w:r>
    </w:p>
    <w:p>
      <w:pPr>
        <w:spacing w:before="40" w:after="40"/>
        <w:ind w:left="283"/>
      </w:pPr>
      <w:r>
        <w:rPr>
          <w:rFonts w:ascii="Calibri" w:hAnsi="Calibri"/>
          <w:b/>
          <w:color w:val="4A6B25"/>
          <w:sz w:val="20"/>
        </w:rPr>
        <w:t xml:space="preserve">2. </w:t>
      </w:r>
      <w:r>
        <w:rPr>
          <w:rFonts w:ascii="Calibri" w:hAnsi="Calibri"/>
          <w:b w:val="0"/>
          <w:color w:val="3A4A28"/>
          <w:sz w:val="20"/>
        </w:rPr>
        <w:t>Molecular recycling commercialization — scaling circular economy technology for specialty plastics positions Eastman to capture regulatory-driven demand for sustainable materials, a multi-decade growth opportunity [2]</w:t>
      </w:r>
    </w:p>
    <w:p>
      <w:pPr>
        <w:spacing w:before="40" w:after="40"/>
        <w:ind w:left="283"/>
      </w:pPr>
      <w:r>
        <w:rPr>
          <w:rFonts w:ascii="Calibri" w:hAnsi="Calibri"/>
          <w:b/>
          <w:color w:val="4A6B25"/>
          <w:sz w:val="20"/>
        </w:rPr>
        <w:t xml:space="preserve">3. </w:t>
      </w:r>
      <w:r>
        <w:rPr>
          <w:rFonts w:ascii="Calibri" w:hAnsi="Calibri"/>
          <w:b w:val="0"/>
          <w:color w:val="3A4A28"/>
          <w:sz w:val="20"/>
        </w:rPr>
        <w:t>End-market recovery — transportation and construction demand stabilization after the 2025 downturn would drive volume recovery across Eastman's specialty materials portfolio, leveraging existing fixed-cost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fragility — net income fell 48% in 2025 on a 12% revenue decline, demonstrating high operating leverage; further demand weakness could push payout ratio above 100%, threatening the 14-year dividend growth streak [1][6]</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 Glassdoor reviews describe toxic leadership culture and a 'reward this-year, punish next-year' approach that could accelerate talent attrition and undermine innovation execution [3]</w:t>
      </w:r>
    </w:p>
    <w:p>
      <w:pPr>
        <w:spacing w:before="40" w:after="40"/>
        <w:ind w:left="283"/>
      </w:pPr>
      <w:r>
        <w:rPr>
          <w:rFonts w:ascii="Calibri" w:hAnsi="Calibri"/>
          <w:b/>
          <w:color w:val="4A6B25"/>
          <w:sz w:val="20"/>
        </w:rPr>
        <w:t xml:space="preserve">3. </w:t>
      </w:r>
      <w:r>
        <w:rPr>
          <w:rFonts w:ascii="Calibri" w:hAnsi="Calibri"/>
          <w:b w:val="0"/>
          <w:color w:val="3A4A28"/>
          <w:sz w:val="20"/>
        </w:rPr>
        <w:t>Macroeconomic and trade uncertainty — management withdrew specific EPS guidance due to macroeconomic uncertainty; tariffs and global trade disruption could further depress demand in transportation and industrial end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Eastman's core business — manufacturing specialty chemicals and advanced materials — involves complex physical-world processes (molecular recycling, cellulose chemistry, polymer production) that AI cannot replace. Chemical manufacturing requires physical plants, deep process engineering expertise, and regulatory compliance that create structural barriers to AI disruption. AI may improve Eastman's operations (process optimization, demand forecasting, R&amp;D molecular simulation) but cannot substitute for the physical production of specialty materials. Analysts have not flagged AI as a risk for specialty chemical companies. AI Opportunity (1/1): Eastman's digital Core platform and internal digital transformation efforts generate measurable operational value, and the company has deployed digital tools across customer-facing processes. AI-driven R&amp;D tools for molecular simulation could accelerate new product development timelines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Eastman Chemical Q4 and Full-Year 2025 Results — $8.75B revenue (-12.1% YoY), $474M net income (-48%), CEO Costa targets $5.50–$6.00 EPS for 2026, January 2026</w:t>
      </w:r>
    </w:p>
    <w:p>
      <w:pPr>
        <w:spacing w:before="20" w:after="20"/>
        <w:ind w:left="170"/>
      </w:pPr>
      <w:r>
        <w:rPr>
          <w:rFonts w:ascii="Calibri" w:hAnsi="Calibri"/>
          <w:b/>
          <w:color w:val="4A6B25"/>
          <w:sz w:val="15"/>
        </w:rPr>
        <w:t xml:space="preserve">2. </w:t>
      </w:r>
      <w:r>
        <w:rPr>
          <w:rFonts w:ascii="Calibri" w:hAnsi="Calibri"/>
          <w:b w:val="0"/>
          <w:color w:val="3A4A28"/>
          <w:sz w:val="17"/>
        </w:rPr>
        <w:t>Eastman Chemical Company — Leadership team, molecular recycling investment, Tritan Renew circular economy strategy, 12-year CEO tenure</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Eastman Chemical culture assessment, Best Places to Work 2014-2016, recent deterioration concerns,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Eastman Sustainability Report — Carbon neutrality by 2050 commitment, Scope 1 and 2 emissions reduction targets, ESG data sheet</w:t>
      </w:r>
    </w:p>
    <w:p>
      <w:pPr>
        <w:spacing w:before="20" w:after="20"/>
        <w:ind w:left="170"/>
      </w:pPr>
      <w:r>
        <w:rPr>
          <w:rFonts w:ascii="Calibri" w:hAnsi="Calibri"/>
          <w:b/>
          <w:color w:val="4A6B25"/>
          <w:sz w:val="15"/>
        </w:rPr>
        <w:t xml:space="preserve">5. </w:t>
      </w:r>
      <w:r>
        <w:rPr>
          <w:rFonts w:ascii="Calibri" w:hAnsi="Calibri"/>
          <w:b w:val="0"/>
          <w:color w:val="3A4A28"/>
          <w:sz w:val="17"/>
        </w:rPr>
        <w:t>Sustainalytics — Eastman Chemical 'Moderate Controversy Level' ESG risk rating</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EMN (Eastman Chemical Company),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