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ENB</w:t>
      </w:r>
      <w:r>
        <w:rPr>
          <w:rFonts w:ascii="Calibri" w:hAnsi="Calibri"/>
          <w:b/>
          <w:color w:val="1A2010"/>
          <w:sz w:val="40"/>
        </w:rPr>
        <w:t xml:space="preserve">  Enbridge Inc.</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Enbridge operates as North America's largest energy infrastructure company through four segments: Liquids Pipelines, Gas Transmission, Gas Distribution and Storage, and Renewable Power Generation. The company transports approximately 30% of North American crude oil and 20% of U.S. natural gas, serving as critical energy infrastructure across Canada and the United States.</w:t>
      </w:r>
    </w:p>
    <w:p>
      <w:r>
        <w:rPr>
          <w:rFonts w:ascii="Calibri" w:hAnsi="Calibri"/>
          <w:b/>
          <w:color w:val="6E8450"/>
          <w:sz w:val="18"/>
        </w:rPr>
        <w:t>14,800 Employees · https://www.enbridge.com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Enbridge completed transformative acquisitions in 2024 (U.S. gas utilities) that expanded the Gas Distribution segment, and grew the secured capital backlog to C$39B [1]. However, the core pipeline business model has not fundamentally changed — this is incremental expansion of existing infrastructure. AI Deployment (1/2): Enbridge's CIO Bhushan Ivaturi has driven digital transformation across operational technology, data, and cybersecurity functions, applying technology to improve safety and reliability [2]. No specific AI-driven revenue or quantified cost savings were disclosed publicly. Market Share (2/2): Enbridge transports ~30% of North American crude oil and ~20% of U.S. natural gas consumed — an unassailable market position backed by irreplaceable physical infrastructure with multi-decade regulatory approvals [1]. Pipeline (1/2): C$39B secured capital backlog with ~C$8B entering service in 2026; post-2026 EBITDA growth guided at ~5% annually [1]. Renewable Power Generation segment provides energy transition optionality. R&amp;D Intensity (0/1): Midstream infrastructure is a capital-deployment business, not an R&amp;D-intensive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Enbridge's purpose is to 'fuel quality of life' — a meaningful framing that connects energy infrastructure to human wellbeing, though somewhat generic for the energy sector. The company explicitly positions itself as a 'bridge to a cleaner energy future.' Community Impact (1/2): Enbridge has community investment programs and Indigenous engagement initiatives, though the company's track record is marred by the Line 3 and Line 5 pipeline controversies — including $11M in Minnesota DNR fines for aquifer breaches and ongoing lawsuits with the Bad River Band of Lake Superior Chippewa over pipeline easements on tribal lands [3]. Employee Retention (1/2): Glassdoor rating of 3.9/5 with 72% recommendation rate, strong for the energy sector [2]. However, post-acquisition integration has reportedly caused 'extremely low morale' in some divisions, and engineers rate culture at just 2.5/5 [2]. Insider Buying (2/2): Enbridge's 31 consecutive years of dividend increases and CEO Ebel's stewardship of the C$39B capital backlog demonstrate long-term ownership mindset; the 3% dividend increase for 2026 continues the commitment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Enbridge delivered record 2025 results with adjusted EBITDA of C$20B (up 7%) and DCF of C$12.5B (up 4%), reaffirming 2026 guidance of C$20.2-20.8B adjusted EBITDA [1]. D/E of 161.4% is elevated but typical for capital-intensive midstream operators with regulated, contracted cash flows. ROE of 11.6% is below the 15% target, reflecting the utility-like return profile. Forward P/E of 23.4x is reasonable for a regulated infrastructure business with visible growth. Profit margin of 11.5% is solid. The dividend at 5.23% yield with 31 consecutive years of growth is the cornerstone of the investment case, though the 117% payout ratio (GAAP) signals reliance on DCF rather than earnings to fund the dividend [1]. Revenue grew 5.9% YoY with Q4 revenues climbing 13% and operating income more than doubling. Liquidity floor cleared: 5.4M avg vol × $54.14 = $293M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Enbridge plays a long game by definition — pipeline infrastructure operates on 20-40 year timeframes with regulated returns. The 31-year dividend growth streak and C$39B capital backlog demonstrate commitment to sustained value creation. However, the company's treatment of Indigenous opposition and environmental track record reveal tensions between financial execution and stakeholder trust that Sinek would find concerning.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Enbridge's purpose of 'fueling quality of life' and serving as a 'bridge to a cleaner energy future' connects energy infrastructure to human wellbeing [1]. The Renewable Power Generation segment and net-zero 2050 commitment add credibility. However, the Just Cause is partially undermined by the company's tracking of Indigenous opposition groups (ODOT system) and hundreds of environmental spills over two decades [3], suggesting the cause is aspirational rather than fully lived.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 with 72% recommendation rate is strong for energy infrastructure [2]. Long-term project continuity and supportive team culture are cited as positives. However, post-acquisition integration has created 'extremely low morale' in some divisions, engineers rate culture at just 2.5/5, and decision-making is described as 'convoluted and bureaucratic' with 'multiple layers of bureaucracy' [2].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Enbridge operates in a regulated infrastructure environment where competition is structured by geography and regulatory approval rather than market share battles. The company's investment in renewable power generation alongside traditional pipelines shows awareness that energy transition demands adaptation rather than defending the status quo against rivals [1].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Enbridge has demonstrated limited strategic flexibility — the core pipeline business model is fundamentally unchanged since 1949. The 2024 U.S. gas utility acquisitions expand the footprint but do not represent a transformative pivot. The Renewable Power Generation segment is growing but remains a small fraction of total EBITDA. The C$39B capital backlog is overwhelmingly traditional energy infrastructure [1]. The company has not yet faced the existential test of truly abandoning a profitable legacy business for the Just Cause.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Ebel has shown courage in deploying approximately $10B of growth capital in 2026 while maintaining the 31-year dividend growth streak — balancing growth investment with shareholder returns [1]. The commitment to net-zero by 2050 and 37% GHG emissions intensity reduction from the 2018 baseline shows willingness to invest in energy transition [3]. However, the company's aggressive pursuit of Line 5 construction despite tribal opposition suggests prioritizing financial returns over stakeholder trust.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Enbridge is North America's dominant energy infrastructure company delivering record financial results — 2025 adjusted EBITDA of C$20B (up 7%), DCF of C$12.5B (up 4%), and adjusted EPS of C$3.02 (up 8%) [1]. The 5.23% dividend yield backed by 31 consecutive years of growth provides reliable income, while the C$39B secured capital backlog (~C$8B entering service in 2026) provides multi-year growth visibility. 2026 guidance of C$20.2-20.8B adjusted EBITDA and C$5.70-6.10 DCF per share reflects continued momentum. The company's irreplaceable physical infrastructure — transporting 30% of North American crude and 20% of U.S. natural gas — creates a near-monopoly position with regulated returns that are structurally protected from AI disruption and benefit from rising data center power demand.</w:t>
      </w:r>
    </w:p>
    <w:p>
      <w:pPr>
        <w:spacing w:after="120"/>
      </w:pPr>
      <w:r>
        <w:rPr>
          <w:rFonts w:ascii="Calibri" w:hAnsi="Calibri"/>
          <w:b w:val="0"/>
          <w:color w:val="3A4A28"/>
          <w:sz w:val="20"/>
        </w:rPr>
        <w:t>The bear case focuses on the payout ratio, debt load, and ESG risk. The GAAP payout ratio of 117% means the dividend exceeds reported earnings, relying on distributable cash flow coverage — any DCF shortfall would pressure the streak [4]. D/E of 161% reflects $106B in total debt, creating interest rate sensitivity. Environmental controversies are significant: $11M fines for Line 3 aquifer breaches, hundreds of spills over two decades, ongoing lawsuits with the Bad River Band over Line 5, and the ODOT system tracking Indigenous opposition groups have damaged the company's social license [3]. The 3% dividend growth rate barely exceeds inflation, and ROE of 11.6% trails the utility peer median. Forward P/E of 23.4x offers no valuation discount for a business growing EBITDA at 5% annually post-2026. Energy transition risk remains a long-term overhang on fossil fuel infrastructure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C$8B of secured capital projects entering service in 2026, adding annualized EBITDA contributions and supporting the 7-9% near-term EBITDA growth outlook [1]</w:t>
      </w:r>
    </w:p>
    <w:p>
      <w:pPr>
        <w:spacing w:before="40" w:after="40"/>
        <w:ind w:left="283"/>
      </w:pPr>
      <w:r>
        <w:rPr>
          <w:rFonts w:ascii="Calibri" w:hAnsi="Calibri"/>
          <w:b/>
          <w:color w:val="4A6B25"/>
          <w:sz w:val="20"/>
        </w:rPr>
        <w:t xml:space="preserve">2. </w:t>
      </w:r>
      <w:r>
        <w:rPr>
          <w:rFonts w:ascii="Calibri" w:hAnsi="Calibri"/>
          <w:b w:val="0"/>
          <w:color w:val="3A4A28"/>
          <w:sz w:val="20"/>
        </w:rPr>
        <w:t>Rising natural gas demand from AI data center buildout — Enbridge's gas transmission and distribution infrastructure is positioned to benefit from the electrification wave powering AI workloads [1]</w:t>
      </w:r>
    </w:p>
    <w:p>
      <w:pPr>
        <w:spacing w:before="40" w:after="40"/>
        <w:ind w:left="283"/>
      </w:pPr>
      <w:r>
        <w:rPr>
          <w:rFonts w:ascii="Calibri" w:hAnsi="Calibri"/>
          <w:b/>
          <w:color w:val="4A6B25"/>
          <w:sz w:val="20"/>
        </w:rPr>
        <w:t xml:space="preserve">3. </w:t>
      </w:r>
      <w:r>
        <w:rPr>
          <w:rFonts w:ascii="Calibri" w:hAnsi="Calibri"/>
          <w:b w:val="0"/>
          <w:color w:val="3A4A28"/>
          <w:sz w:val="20"/>
        </w:rPr>
        <w:t>31st consecutive dividend increase (3% to C$3.88 annually) with 2026 DCF/share guidance of C$5.70-6.10 providing comfortable coverage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Environmental and Indigenous rights controversies — Line 5 legal battles, Line 3 aquifer breach fines, and the ODOT opposition tracking system threaten regulatory approvals for future projects and social license to operate [3]</w:t>
      </w:r>
    </w:p>
    <w:p>
      <w:pPr>
        <w:spacing w:before="40" w:after="40"/>
        <w:ind w:left="283"/>
      </w:pPr>
      <w:r>
        <w:rPr>
          <w:rFonts w:ascii="Calibri" w:hAnsi="Calibri"/>
          <w:b/>
          <w:color w:val="4A6B25"/>
          <w:sz w:val="20"/>
        </w:rPr>
        <w:t xml:space="preserve">2. </w:t>
      </w:r>
      <w:r>
        <w:rPr>
          <w:rFonts w:ascii="Calibri" w:hAnsi="Calibri"/>
          <w:b w:val="0"/>
          <w:color w:val="3A4A28"/>
          <w:sz w:val="20"/>
        </w:rPr>
        <w:t>Debt burden — $106B total debt with D/E of 161% creates interest rate sensitivity; any tightening of capital markets could raise refinancing costs on the leveraged balance sheet [4]</w:t>
      </w:r>
    </w:p>
    <w:p>
      <w:pPr>
        <w:spacing w:before="40" w:after="40"/>
        <w:ind w:left="283"/>
      </w:pPr>
      <w:r>
        <w:rPr>
          <w:rFonts w:ascii="Calibri" w:hAnsi="Calibri"/>
          <w:b/>
          <w:color w:val="4A6B25"/>
          <w:sz w:val="20"/>
        </w:rPr>
        <w:t xml:space="preserve">3. </w:t>
      </w:r>
      <w:r>
        <w:rPr>
          <w:rFonts w:ascii="Calibri" w:hAnsi="Calibri"/>
          <w:b w:val="0"/>
          <w:color w:val="3A4A28"/>
          <w:sz w:val="20"/>
        </w:rPr>
        <w:t>Energy transition risk — long-lived pipeline assets face stranded asset risk if fossil fuel demand declines faster than expected; the Renewable Power segment is too small to offset a structural crude oil demand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Enbridge's core business of operating 17,000+ miles of crude oil pipelines, natural gas transmission, and distribution infrastructure is structurally immune to AI disruption [1]. Physical pipeline infrastructure with multi-decade regulatory approvals, right-of-way easements, and customer contracts cannot be digitized or replaced by AI. AI may actually increase demand for Enbridge's gas transmission as data center power consumption surges — natural gas is the primary baseload fuel for the electricity grid that powers AI workloads. Regulated utility returns provide additional insulation from technology-driven margin compression. AI Opportunity (0/1): Enbridge uses digital technology for operational efficiency and safety monitoring through its CIO function [2], but does not generate meaningful AI-specific revenue. The company's value proposition is physical infrastructure, not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Enbridge 2025 Full-Year and Q4 Earnings Release — Record C$20B adjusted EBITDA, C$12.5B DCF, 2026 guidance reaffirmed, February 2026</w:t>
      </w:r>
    </w:p>
    <w:p>
      <w:pPr>
        <w:spacing w:before="20" w:after="20"/>
        <w:ind w:left="170"/>
      </w:pPr>
      <w:r>
        <w:rPr>
          <w:rFonts w:ascii="Calibri" w:hAnsi="Calibri"/>
          <w:b/>
          <w:color w:val="4A6B25"/>
          <w:sz w:val="15"/>
        </w:rPr>
        <w:t xml:space="preserve">2. </w:t>
      </w:r>
      <w:r>
        <w:rPr>
          <w:rFonts w:ascii="Calibri" w:hAnsi="Calibri"/>
          <w:b w:val="0"/>
          <w:color w:val="3A4A28"/>
          <w:sz w:val="17"/>
        </w:rPr>
        <w:t>Enbridge CIO interview, Glassdoor reviews (3.9/5, 72% recommend), leadership and digital transformation assessment, 2025-2026</w:t>
      </w:r>
    </w:p>
    <w:p>
      <w:pPr>
        <w:spacing w:before="20" w:after="20"/>
        <w:ind w:left="170"/>
      </w:pPr>
      <w:r>
        <w:rPr>
          <w:rFonts w:ascii="Calibri" w:hAnsi="Calibri"/>
          <w:b/>
          <w:color w:val="4A6B25"/>
          <w:sz w:val="15"/>
        </w:rPr>
        <w:t xml:space="preserve">3. </w:t>
      </w:r>
      <w:r>
        <w:rPr>
          <w:rFonts w:ascii="Calibri" w:hAnsi="Calibri"/>
          <w:b w:val="0"/>
          <w:color w:val="3A4A28"/>
          <w:sz w:val="17"/>
        </w:rPr>
        <w:t>Enbridge ESG Controversies — Line 3 aquifer breaches ($11M fines), Line 5 tribal lawsuits, ODOT tracking system, Sustainalytics 'Significant' controversy level 3, The Intercept/WPR/CBC,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ENB (Enbridge),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