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ENOV</w:t>
      </w:r>
      <w:r>
        <w:rPr>
          <w:rFonts w:ascii="Calibri" w:hAnsi="Calibri"/>
          <w:b/>
          <w:color w:val="1A2010"/>
          <w:sz w:val="40"/>
        </w:rPr>
        <w:t xml:space="preserve">  Enovis Corporation</w:t>
      </w:r>
    </w:p>
    <w:p>
      <w:pPr>
        <w:spacing w:after="120"/>
      </w:pPr>
      <w:r>
        <w:rPr>
          <w:rFonts w:ascii="Calibri" w:hAnsi="Calibri"/>
          <w:b/>
          <w:color w:val="6E8450"/>
          <w:sz w:val="18"/>
        </w:rPr>
        <w:t>GROWTH SLEEVE · 2026-05-03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Enovis is a medical technology company focused on developing clinically differentiated solutions across two segments: Prevention &amp; Recovery (orthopedic bracing, hot/cold therapy, bone growth stimulators, vascular therapy, electrical stimulators) and Reconstructive (hip, knee, shoulder, elbow, foot and ankle implants, instrumentation, and enabling technologies). Formerly Colfax Corporation, Enovis was rebranded in 2022 to focus exclusively on medical devices.</w:t>
      </w:r>
    </w:p>
    <w:p>
      <w:r>
        <w:rPr>
          <w:rFonts w:ascii="Calibri" w:hAnsi="Calibri"/>
          <w:b/>
          <w:color w:val="6E8450"/>
          <w:sz w:val="18"/>
        </w:rPr>
        <w:t>7,802 Employees · https://www.enovis.com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Enovis executed a transformative pivot from a diversified industrial conglomerate (Colfax Corp) to a pure-play medical device company in 2022, followed by the $3.3B acquisition of LimaCorporate in 2023 that significantly expanded the Reconstructive segment [1]. Reconstructive sales grew 10% YoY reported (8% organic) in FY2025, validating the strategic direction. AI Deployment (0/2): No evidence of AI-powered products or quantifiable AI-driven savings; the company focuses on traditional medical device engineering and surgical planning tools [2]. Market Share (1/2): Enovis is a meaningful but not dominant player in orthopedic reconstruction, competing against Stryker, Zimmer Biomet, and Smith+Nephew. The LimaCorporate acquisition expanded the joint replacement portfolio, but market share remains modest [1]. Pipeline (1/2): The Reconstructive segment pipeline includes differentiated implant designs and enabling technologies, with 4-6% organic growth guided for 2026 ($2.31-2.37B revenue) and adjusted EPS of $3.52-3.73 [1]. R&amp;D Intensity (1/1): Enovis maintains above-industry R&amp;D spending as a percentage of revenue, leveraging the Enovis Business System (EBS) continuous improvement framework inherited from Danaher/Fortive DNA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Enovis's purpose — 'creating better together' with a focus on active lifestyles and orthopedic innovation — is clear and connects the company's work to patient outcomes. New CEO Damien McDonald (appointed May 2025) brings a 'Patients First' mindset from LivaNova, suggesting genuine purpose orientation [2]. However, the mission is not yet validated through decades of consistent execution under the Enovis brand. Community Impact (1/2): Enovis maintains corporate social responsibility programs including workplace health and safety, environmental sustainability, and human rights commitments with no child or forced labor [3]. However, specific dollar amounts for community investment are not publicly quantified. Employee Retention (1/2): The 7,802-employee organization is undergoing leadership transition with CEO McDonald and new segment leaders, suggesting investment in organizational capability. The EBS culture of continuous improvement is a retention driver, though no specific tenure or turnover data was found [2]. Insider Buying (1/2): New CEO Damien McDonald's equity-based compensation aligns interests, and the EBS-focused culture attracts operationally minded executives. However, no evidence of significant open-market insider buying was found at current depressed prices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Enovis's infrastructure profile reflects a company in mid-transformation. The LimaCorporate acquisition drove revenue to $2.25B (up 6.7% reported) but at significant cost — profit margin is deeply negative at -52.7% due to $1.18B in goodwill impairment and integration charges [1][4]. D/E of 92.5% is manageable but reflects $1.38B in acquisition-related debt against only $36M cash. Stripping out one-time charges, adjusted EBITDA of $425-435M guided for 2026 indicates underlying profitability. Forward P/E of 5.9x appears cheap but reflects the market's skepticism about the turnaround; the 3.45 PEG ratio (above floor) reflects low expected growth relative to earnings recovery expectations. Revenue 3-year CAGR of 12.9% is strong, driven by acquisitions. ROE is deeply negative (-58.3%) due to the impairment. Liquidity floor cleared: 966K avg volume x $23.62 = $22.8M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Enovis demonstrates meaningful infinite game characteristics through its transformative pivot from industrial conglomerate to pure-play medical devices, the Enovis Business System continuous improvement culture, and the patient-focused leadership transition. However, the company is early in its journey as Enovis — the cause hasn't been tested through cycles, and the financial strain from the LimaCorporate acquisition creates pressure to optimize for near-term results.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Enovis's cause — creating clinically differentiated solutions that enable active lifestyles — is genuine and backed by the transformative decision to divest the industrial business and go all-in on medical devices [1]. CEO McDonald's 'Patients First' philosophy and the EBS continuous improvement culture provide structural reinforcement. However, the Enovis brand is only four years old, and the cause has not been validated through multiple market cycles or leadership transitions.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EBS (Enovis Business System) culture, inherited from the Danaher/Fortive DNA, creates a structured framework for continuous improvement and employee empowerment. The leadership transition to CEO McDonald was managed professionally, with segment leadership continuity maintained [2]. However, the LimaCorporate integration is creating organizational complexity across 7,802 employees, and no exceptional trust evidence (long tenure, low turnover) was found.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Enovis explicitly acknowledges the strengths of larger competitors — Stryker's robotic platform (Mako), Zimmer Biomet's scale, and Smith+Nephew's sports medicine portfolio — and uses these rivalries to sharpen its focus on clinical differentiation and the EBS operating model as competitive advantages [1]. The competitive language is about improvement, not destruction.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Colfax Corporation (diversified industrial) to Enovis (pure-play medical devices) was a genuine existential pivot — the company divested its fabrication technology business and made a $3.3B bet on the LimaCorporate acquisition to redefine itself [1]. This is exactly the kind of strategic shift Sinek values. However, it was partially driven by financial engineering logic (higher med-tech multiples) rather than purely by a Just Cause.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Enovis's leadership showed courage in executing the Colfax-to-Enovis transformation and making the $3.3B LimaCorporate acquisition that fundamentally changed the company's trajectory [1]. The board brought in Damien McDonald as CEO to provide med-tech expertise for the next phase. However, the $1.18B goodwill impairment suggests the acquisition was overpriced, and the company has not demonstrated the courage to make hard decisions in the face of that mistake.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Enovis is a medical device company in the early innings of a transformation story, trading at just 5.9x forward P/E with $2.31-2.37B in 2026 revenue guidance (4-6% organic growth) and adjusted EBITDA of $425-435M [1]. The LimaCorporate acquisition gave Enovis a competitive Reconstructive portfolio (hip, knee, shoulder, extremities) growing 8-10% organically, and the EBS continuous improvement culture — inherited from Danaher DNA — provides a proven operating system for margin expansion. New CEO Damien McDonald brings 35+ years of med-tech leadership and a track record of cultural transformation at LivaNova [2]. At $23.62 per share with a $1.36B market cap, the stock is pricing in minimal value for a $2.3B revenue business with adjusted EPS guidance of $3.52-3.73, suggesting meaningful upside if the turnaround executes [4].</w:t>
      </w:r>
    </w:p>
    <w:p>
      <w:pPr>
        <w:spacing w:after="120"/>
      </w:pPr>
      <w:r>
        <w:rPr>
          <w:rFonts w:ascii="Calibri" w:hAnsi="Calibri"/>
          <w:b w:val="0"/>
          <w:color w:val="3A4A28"/>
          <w:sz w:val="20"/>
        </w:rPr>
        <w:t>The bear case is substantial. The $1.18B goodwill impairment on LimaCorporate signals the acquisition was significantly overvalued, and GAAP net loss of $1.18B drives deeply negative ROE (-58.3%) and profit margin (-52.7%) [4]. Total debt of $1.38B against just $36M in cash creates a leveraged balance sheet with limited financial flexibility. Revenue growth of 2.6% YoY (organic) is modest for a company carrying this much debt. The orthopedic reconstruction market is dominated by Stryker, Zimmer Biomet, and Smith+Nephew, whose robotic platforms and scale advantages make it difficult for Enovis to gain share. CEO McDonald is new (May 2025), creating execution risk during a critical integration period. The PEG ratio of 3.45 suggests the market expects very low earnings growth relative to the recovery multiple. Free cash flow of $104M is modest relative to the debt load, limiting strategic flexibility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Reconstructive segment growing 8-10% organically with expanding margins as LimaCorporate integration synergies are realized and the portfolio matures [1]</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expansion driven by the Enovis Business System (EBS) continuous improvement framework applied to the combined organization [1]</w:t>
      </w:r>
    </w:p>
    <w:p>
      <w:pPr>
        <w:spacing w:before="40" w:after="40"/>
        <w:ind w:left="283"/>
      </w:pPr>
      <w:r>
        <w:rPr>
          <w:rFonts w:ascii="Calibri" w:hAnsi="Calibri"/>
          <w:b/>
          <w:color w:val="4A6B25"/>
          <w:sz w:val="20"/>
        </w:rPr>
        <w:t xml:space="preserve">3. </w:t>
      </w:r>
      <w:r>
        <w:rPr>
          <w:rFonts w:ascii="Calibri" w:hAnsi="Calibri"/>
          <w:b w:val="0"/>
          <w:color w:val="3A4A28"/>
          <w:sz w:val="20"/>
        </w:rPr>
        <w:t>New CEO Damien McDonald's med-tech expertise and 'Patients First' culture potentially accelerating the turnaround from industrial conglomerate to focused medical device leader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Acquisition integration risk — $3.3B LimaCorporate deal already impaired by $1.18B, with remaining goodwill at risk if organic growth underperforms guidance [1]</w:t>
      </w:r>
    </w:p>
    <w:p>
      <w:pPr>
        <w:spacing w:before="40" w:after="40"/>
        <w:ind w:left="283"/>
      </w:pPr>
      <w:r>
        <w:rPr>
          <w:rFonts w:ascii="Calibri" w:hAnsi="Calibri"/>
          <w:b/>
          <w:color w:val="4A6B25"/>
          <w:sz w:val="20"/>
        </w:rPr>
        <w:t xml:space="preserve">2. </w:t>
      </w:r>
      <w:r>
        <w:rPr>
          <w:rFonts w:ascii="Calibri" w:hAnsi="Calibri"/>
          <w:b w:val="0"/>
          <w:color w:val="3A4A28"/>
          <w:sz w:val="20"/>
        </w:rPr>
        <w:t>Leveraged balance sheet with $1.38B debt and only $36M cash, limiting strategic flexibility and creating refinancing risk if earnings recovery stalls [4]</w:t>
      </w:r>
    </w:p>
    <w:p>
      <w:pPr>
        <w:spacing w:before="40" w:after="40"/>
        <w:ind w:left="283"/>
      </w:pPr>
      <w:r>
        <w:rPr>
          <w:rFonts w:ascii="Calibri" w:hAnsi="Calibri"/>
          <w:b/>
          <w:color w:val="4A6B25"/>
          <w:sz w:val="20"/>
        </w:rPr>
        <w:t xml:space="preserve">3. </w:t>
      </w:r>
      <w:r>
        <w:rPr>
          <w:rFonts w:ascii="Calibri" w:hAnsi="Calibri"/>
          <w:b w:val="0"/>
          <w:color w:val="3A4A28"/>
          <w:sz w:val="20"/>
        </w:rPr>
        <w:t>Competition from robotic-enabled platforms (Stryker Mako, Zimmer ROSA) that could shift surgeon preferences away from Enovis's conventional surgical tools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Enovis's core business involves physical medical devices — orthopedic braces, joint replacement implants, surgical instruments — that require manufacturing, regulatory approval (FDA), physician training, and in-person surgical procedures. AI cannot substitute for a knee implant or a bone growth stimulator [1]. The Prevention &amp; Recovery segment serves physical therapy and rehabilitation, which remains fundamentally human-delivered. However, AI-driven surgical planning tools from larger competitors (Stryker Mako, Zimmer ROSA) could shift surgeon preferences away from Enovis's enabling technologies if the company does not invest in AI-enhanced surgical platforms [2]. AI Opportunity (1/1): Enovis's enabling technologies and surgical planning tools present clear opportunities for AI integration — preoperative planning, intraoperative guidance, and postoperative monitoring could be enhanced with AI/ML, and the company's data from thousands of joint replacement procedures could power predictive analytics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Enovis Q4/FY2025 Earnings Release — $2.25B revenue, Reconstructive +10%, FY2026 guidance $2.31-2.37B, February 26, 2026</w:t>
      </w:r>
    </w:p>
    <w:p>
      <w:pPr>
        <w:spacing w:before="20" w:after="20"/>
        <w:ind w:left="170"/>
      </w:pPr>
      <w:r>
        <w:rPr>
          <w:rFonts w:ascii="Calibri" w:hAnsi="Calibri"/>
          <w:b/>
          <w:color w:val="4A6B25"/>
          <w:sz w:val="15"/>
        </w:rPr>
        <w:t xml:space="preserve">2. </w:t>
      </w:r>
      <w:r>
        <w:rPr>
          <w:rFonts w:ascii="Calibri" w:hAnsi="Calibri"/>
          <w:b w:val="0"/>
          <w:color w:val="3A4A28"/>
          <w:sz w:val="17"/>
        </w:rPr>
        <w:t>Enovis Leadership Transition — CEO Damien McDonald appointment, Board changes, EBS culture, April-May 2025</w:t>
      </w:r>
    </w:p>
    <w:p>
      <w:pPr>
        <w:spacing w:before="20" w:after="20"/>
        <w:ind w:left="170"/>
      </w:pPr>
      <w:r>
        <w:rPr>
          <w:rFonts w:ascii="Calibri" w:hAnsi="Calibri"/>
          <w:b/>
          <w:color w:val="4A6B25"/>
          <w:sz w:val="15"/>
        </w:rPr>
        <w:t xml:space="preserve">3. </w:t>
      </w:r>
      <w:r>
        <w:rPr>
          <w:rFonts w:ascii="Calibri" w:hAnsi="Calibri"/>
          <w:b w:val="0"/>
          <w:color w:val="3A4A28"/>
          <w:sz w:val="17"/>
        </w:rPr>
        <w:t>Enovis Corporate Social Responsibility Report and ESG disclosures, Sustainalytics 'None' controversy rating,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ENOV (Enovis Corporation),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