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ENSC</w:t>
      </w:r>
      <w:r>
        <w:rPr>
          <w:rFonts w:ascii="Calibri" w:hAnsi="Calibri"/>
          <w:b/>
          <w:color w:val="1A2010"/>
          <w:sz w:val="40"/>
        </w:rPr>
        <w:t xml:space="preserve">  Ensysce Biosciences,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21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Ensysce Biosciences is a clinical-stage pharmaceutical company developing abuse-resistant and overdose-protection opioid prodrug technologies. Its two platforms — Trypsin Activated Abuse Protection (TAAP) and Multi-Pill Abuse Resistance (MPAR) — are designed to reduce opioid misuse and prevent overdose deaths. Lead candidate PF614 is in a Phase 3 trial for chronic pain.</w:t>
      </w:r>
    </w:p>
    <w:p>
      <w:r>
        <w:rPr>
          <w:rFonts w:ascii="Calibri" w:hAnsi="Calibri"/>
          <w:b/>
          <w:color w:val="6E8450"/>
          <w:sz w:val="18"/>
        </w:rPr>
        <w:t>7 Employees · https://www.ensysce.com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Ensysce has advanced PF614 through Phase 2 and achieved FDA Fast Track designation for TAAP and Breakthrough Therapy designation for MPAR, but has not launched any commercial product since its 2003 founding [1][2]. AI Deployment (0/2): No AI-related products, tools, or cost savings are evident; the company's innovation is chemistry-based prodrug technology [2]. Market Share (0/2): Pre-commercial company with no market share in any product category. Pipeline (2/2): PF614 Phase 3 trial is 50% enrolled across sites in Utah, Georgia, and Texas with clear regulatory pathway; PF614-MPAR combination product and PF8001/PF8026 amphetamine prodrugs for ADHD provide pipeline breadth [1][2]. R&amp;D Intensity (1/1): As a clinical-stage biotech, virtually all spending is R&amp;D, well above industry average relative to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Ensysce's mission to develop safer opioid alternatives directly addresses the US opioid crisis that kills over 80,000 Americans annually — a genuinely purpose-driven cause with clear social impact that differentiates from typical biotech [2]. Community Impact (1/2): The company's core work on abuse-resistant and overdose-protection opioids constitutes a social good, though no formal charitable programs or foundation exist given its 7-person team [2]. Employee Retention (0/2): With only 7 full-time employees, no meaningful retention data exists. Insider Buying (0/2): No evidence of meaningful net insider buying; the company initiated a strategic review in February 2026, suggesting leadership is exploring exits rather than doubling down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Ensysce's financial profile is deeply distressed. The company has a $1.9M market cap, -244.5% profit margin, -294.4% ROE, and revenue declined 85.6% YoY [4]. D/E of 44.3% is the sole bright spot. Forward P/E is negative (unprofitable) and PEG is unavailable. The February 2026 strategic alternatives review signals potential inability to fund operations independently [3]. Liquidity floor passes at $3.27M daily notional (6.3M avg volume × $0.52)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Ensysce has a genuine Just Cause in solving the opioid crisis, but the February 2026 strategic review signals a company potentially running out of runway rather than playing to keep playing. CEO Lynn Kirkpatrick has led since 2009 with consistent focus, but a 7-person team exploring sale options after 23 years without a commercial product suggests finite game pressures are dominating.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safer opioids to combat the overdose epidemic is a clear, purpose-driven cause that addresses one of America's most devastating public health crises [2]. The TAAP and MPAR platforms represent genuine innovation toward this cause, and the company has pursued this mission consistently since 2003. However, 23 years without a commercial product raises questions about whether the cause can be advanced from this corporate vehicle.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7 full-time employees, the team is necessarily tight-knit, but there is insufficient public data to evaluate psychological safety, empowerment, or team dynamics [2]. The leadership team's pharma pedigree (Prozac, Seroquel, Zomig launches) suggests experienced professionals, but the strategic review creates uncertainty about team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Ensysce operates in a competitive abuse-deterrent opioid space alongside Purdue's reformulated OxyContin and Collegium's Xtampza ER [2]. The company's differentiated chemistry-based approach (prodrug vs. physical barriers) suggests they understand competitors' limitations and are building something genuinely different rather than copying existing approaches.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February 2026 strategic alternatives review — including partnerships, licensing, business combinations, and asset sales — demonstrates willingness to pivot the corporate structure to advance the technology [3]. However, this flexibility appears driven by financial necessity rather than strategic vision, which is finite game behavior.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Lynn Kirkpatrick has maintained focus on abuse-deterrent opioids for 17 years despite market skepticism, regulatory hurdles, and a stock price that has declined from $4.85 to $0.52 [1][4]. This persistence shows conviction, though the strategic review suggests the courage to persist may have reached its practical limits.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Ensysce Biosciences holds genuinely differentiated technology — its TAAP and MPAR prodrug platforms represent a novel chemistry-based approach to the opioid abuse crisis, with FDA Fast Track and Breakthrough Therapy designations validating the science [1][2]. PF614's Phase 3 trial at 50% enrollment provides a near-term catalyst. However, the investment case is severely challenged: a $1.9M market cap, 7 employees, -85.6% revenue decline, and negative ROE of -294% signal a company in financial distress [4]. The February 2026 strategic review suggests management recognizes the company may not have the resources to commercialize independently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After 23 years, Ensysce has no commercial product and is burning cash with minimal revenue ($4.5M TTM, down 86% YoY). The stock has fallen 89% from its 52-week high of $4.85 to $0.52, destroying shareholder value [4]. The strategic alternatives review is a euphemism for exploring sale or merger — the company likely cannot fund Phase 3 completion and commercialization alone. Even if PF614 succeeds clinically, Ensysce lacks the commercial infrastructure to launch; a partnership or acquisition at current valuations would dilute or eliminate equity holders. Dilution risk is extreme given the micro-cap status and ongoing cash needs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PF614 Phase 3 trial completion — currently 50% enrolled with results expected to provide pivotal data for FDA submission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Strategic alternatives review outcome — a partnership or acquisition by a larger pharma company could unlock value for the TAAP/MPAR platforms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FDA Breakthrough Therapy designation for MPAR provides accelerated review pathway and potential for expedited approval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Financial viability — $1.9M market cap with negative margins and declining revenue suggests the company may not survive as an independent entity without significant capital raise or strategic transaction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Clinical trial failure — Phase 3 trial for PF614 could fail to meet endpoints, rendering the primary asset worthless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Dilution risk — any capital raise at current micro-cap valuation would be massively dilutive to existing shareholders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Ensysce's core business — chemistry-based prodrug platforms for abuse-resistant opioids — is grounded in physical molecular design, clinical trials, and FDA regulatory processes that AI cannot substitute [2]. Drug development requires wet-lab chemistry, animal studies, and human clinical trials that are inherently non-digital. The opioid abuse-deterrent market is driven by regulatory mandates and physician prescribing behavior, not software. AI may accelerate early-stage drug discovery timelines but cannot replace the clinical development and regulatory pathway Ensysce operates in. AI Opportunity (0/1): No AI-derived revenue or AI-powered products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Ensysce Biosciences Investor Relations — PF614 Phase 3 enrollment update and pipeline overview,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Ensysce Biosciences corporate website — TAAP and MPAR platform descriptions, leadership team,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Ensysce Biosciences press release — Strategic alternatives review initiated February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ENSC, retrieved March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