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EOG</w:t>
      </w:r>
      <w:r>
        <w:rPr>
          <w:rFonts w:ascii="Calibri" w:hAnsi="Calibri"/>
          <w:b/>
          <w:color w:val="1A2010"/>
          <w:sz w:val="40"/>
        </w:rPr>
        <w:t xml:space="preserve">  EOG Resources, Inc.</w:t>
      </w:r>
    </w:p>
    <w:p>
      <w:pPr>
        <w:spacing w:after="120"/>
      </w:pPr>
      <w:r>
        <w:rPr>
          <w:rFonts w:ascii="Calibri" w:hAnsi="Calibri"/>
          <w:b/>
          <w:color w:val="6E8450"/>
          <w:sz w:val="18"/>
        </w:rPr>
        <w:t>DIVIDEND SLEEVE · 2026-03-31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EOG Resources is one of the largest independent crude oil and natural gas companies in the United States, operating primarily in the Permian Basin, Eagle Ford, and other domestic shale plays. The company focuses on high-return drilling with industry-leading well economics and returned 100% of 2025 free cash flow to shareholders.</w:t>
      </w:r>
    </w:p>
    <w:p>
      <w:r>
        <w:rPr>
          <w:rFonts w:ascii="Calibri" w:hAnsi="Calibri"/>
          <w:b/>
          <w:color w:val="6E8450"/>
          <w:sz w:val="18"/>
        </w:rPr>
        <w:t>3,400 Employees · https://www.eogresources.com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EOG delivered $5.0B net income and $4.7B free cash flow in FY2025 on $22.7B revenue, with total proved reserves increasing 16% to 5.5 billion Boe [1]. The $5.6B Encino acquisition adds high-return Utica Shale acreage. AI Deployment (2/2): EOG deploys AI-driven predictive maintenance, machine learning for reservoir characterization, and real-time anomaly detection across drilling operations — genuinely differentiated technology use for an E&amp;P company [2]. Market Share (1/2): EOG is one of the top independent US E&amp;P companies but operates in a fragmented commodity market without pricing power. Pipeline (1/2): 2026 capital plan of $6.5B targets 5% oil growth and 13% total production growth with low single-digit well cost reductions [1]. R&amp;D Intensity (1/1): Data-driven 'Do Something Real' culture drives continuous operational efficiency improvements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EOG's culture centers on 'Do Something Real' — empowering employees as business-people first with a non-bureaucratic, data-driven environment [2]. However, the mission is operational excellence rather than a transcendent purpose. Community Impact (1/2): Only 3,400 employees limits direct employment impact, though EOG's operations support significant economic activity in producing regions. Employee Retention (1/2): Glassdoor rating of 4.0/5 with 74% recommending to a friend is solid, though reviews cite inconsistent leadership quality and rigid in-office policies that 'frown upon' WFH for non-management [2]. Insider Buying (1/2): $2.5B in share repurchases in 2025 at an average price of $115/share demonstrates management conviction, though this is corporate buyback rather than personal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EOG's financial profile is conservatively managed for an E&amp;P company. D/E of 30.6% is low for the energy sector, ROE of 16.8% is solid, and profit margin of 22.0% reflects disciplined cost management [5]. Forward P/E of 11.9x is attractive for a company guiding to 5% oil production growth and $4.5B FCF in 2026 [1]. Revenue growth was flat YoY due to commodity price headwinds, partially offset by the Encino acquisition's volume contribution. Dividend yield of 2.7% with a 43% payout ratio and $4.08 annual rate provides shareholder return visibility [1]. Liquidity floor easily cleared: 5.4M avg vol × $144.57 = ~$780M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EOG plays a moderately infinite game — its conservative balance sheet, multi-basin inventory approach, and 100% FCF return policy demonstrate long-term thinking. However, the company remains tethered to a finite resource extraction model without a visible transition strategy beyond operational efficiency.</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EOG's 'Do Something Real' culture drives meaningful operational innovation, but the just cause is rooted in efficient hydrocarbon extraction rather than a broader societal mission [2]. The net-zero-by-2040 ambition (Scopes 1 and 2 only) shows some forward thinking but excludes Scope 3 emissions, which undermines credibility with climate-focused stakeholders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EOG's lean, non-bureaucratic structure empowers employees to make impactful decisions, and Glassdoor's 4.0/5 rating reflects generally positive sentiment [2]. However, reviews cite toxic middle management, credit-taking behavior, and rigid WFH policies that apply inconsistently between management and staff — eroding trust at the team level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EOG benchmarks itself against Pioneer (now part of ExxonMobil), Diamondback, and Devon Energy on well economics and capital efficiency. The Encino acquisition shows willingness to compete for high-quality inventory [1]. However, EOG primarily competes on operational metrics rather than acknowledging rivals' strategic advantages in areas like energy transition.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EOG's multi-basin portfolio (Permian, Eagle Ford, Utica, Dorado) and the Encino acquisition demonstrate tactical flexibility within E&amp;P [1]. However, the company has no meaningful diversification beyond oil and gas — no renewables, no carbon capture at scale, no energy transition strategy. The 16% reserves growth in 2025 doubles down on hydrocarbons rather than hedging long-term energy transition risk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Ezra Yacob has shown courage in maintaining capital discipline when peers were overspending — returning 100% of 2025 FCF to shareholders rather than chasing growth [1]. The decision to acquire Encino for $5.6B while keeping D/E at 30.6% shows disciplined M&amp;A. EOG was also early among E&amp;P companies in adopting AI-driven operational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EOG Resources is a best-in-class independent E&amp;P operator trading at 11.9x forward earnings with $4.5B guided FCF for 2026 and a 2.7% dividend yield [1][5]. The company's conservative D/E of 30.6%, 16% reserves growth in 2025 to 5.5B Boe, and disciplined $6.5B capital plan targeting 5% oil growth position EOG well for a range of commodity environments. The $5.6B Encino acquisition adds high-return Utica Shale inventory while maintaining balance sheet discipline. AI-enhanced drilling and predictive maintenance drive continuous cost reductions, and the secular AI data center electricity demand tailwind supports long-term oil and gas demand [2]. At current valuation, EOG offers a compelling risk-reward for income-oriented investors with commodity price upside optionality.</w:t>
      </w:r>
    </w:p>
    <w:p>
      <w:pPr>
        <w:spacing w:after="120"/>
      </w:pPr>
      <w:r>
        <w:rPr>
          <w:rFonts w:ascii="Calibri" w:hAnsi="Calibri"/>
          <w:b w:val="0"/>
          <w:color w:val="3A4A28"/>
          <w:sz w:val="20"/>
        </w:rPr>
        <w:t>The bear case centers on commodity price sensitivity and energy transition risk. EPS declined 41.7% YoY in FY2025 due to lower realized crude prices despite higher volumes, demonstrating the inherent earnings volatility of E&amp;P businesses [1]. Revenue was flat despite the Encino acquisition's volume boost. A price-fixing class action lawsuit filed in January 2024 accusing EOG and seven other producers of constraining shale oil production poses legal risk [3]. ESG concerns around hydraulic fracturing, the December 2025 Ohio well pad explosion, and EOG's exclusion of Scope 3 from its net-zero target may drive institutional divestment [3]. The company's lack of energy transition diversification means long-term secular decline in fossil fuel demand — accelerated by AI-optimized renewables — could impair the business model. The flat revenue growth and negative EPS trajectory suggest commodity headwinds may persist through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capital plan targeting 5% oil growth and 13% total production growth with $4.5B projected free cash flow, supported by the Encino acquisition integration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gains delivering low single-digit well cost reductions across 585 planned net well completions in 2026 [1][2]</w:t>
      </w:r>
    </w:p>
    <w:p>
      <w:pPr>
        <w:spacing w:before="40" w:after="40"/>
        <w:ind w:left="283"/>
      </w:pPr>
      <w:r>
        <w:rPr>
          <w:rFonts w:ascii="Calibri" w:hAnsi="Calibri"/>
          <w:b/>
          <w:color w:val="4A6B25"/>
          <w:sz w:val="20"/>
        </w:rPr>
        <w:t xml:space="preserve">3. </w:t>
      </w:r>
      <w:r>
        <w:rPr>
          <w:rFonts w:ascii="Calibri" w:hAnsi="Calibri"/>
          <w:b w:val="0"/>
          <w:color w:val="3A4A28"/>
          <w:sz w:val="20"/>
        </w:rPr>
        <w:t>Secular AI data center energy demand growth creating a structural tailwind for natural gas and crude oil demand in EOG's core operating regions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volatility — EPS fell 41.7% YoY in FY2025 on lower realized crude prices, and flat revenue growth despite higher volumes demonstrates persistent price headwinds [1]</w:t>
      </w:r>
    </w:p>
    <w:p>
      <w:pPr>
        <w:spacing w:before="40" w:after="40"/>
        <w:ind w:left="283"/>
      </w:pPr>
      <w:r>
        <w:rPr>
          <w:rFonts w:ascii="Calibri" w:hAnsi="Calibri"/>
          <w:b/>
          <w:color w:val="4A6B25"/>
          <w:sz w:val="20"/>
        </w:rPr>
        <w:t xml:space="preserve">2. </w:t>
      </w:r>
      <w:r>
        <w:rPr>
          <w:rFonts w:ascii="Calibri" w:hAnsi="Calibri"/>
          <w:b w:val="0"/>
          <w:color w:val="3A4A28"/>
          <w:sz w:val="20"/>
        </w:rPr>
        <w:t>Price-fixing class action lawsuit and ESG scrutiny — legal risk from production restraint allegations and institutional divestment pressure from hydraulic fracturing reliance and inadequate climate targets [3]</w:t>
      </w:r>
    </w:p>
    <w:p>
      <w:pPr>
        <w:spacing w:before="40" w:after="40"/>
        <w:ind w:left="283"/>
      </w:pPr>
      <w:r>
        <w:rPr>
          <w:rFonts w:ascii="Calibri" w:hAnsi="Calibri"/>
          <w:b/>
          <w:color w:val="4A6B25"/>
          <w:sz w:val="20"/>
        </w:rPr>
        <w:t xml:space="preserve">3. </w:t>
      </w:r>
      <w:r>
        <w:rPr>
          <w:rFonts w:ascii="Calibri" w:hAnsi="Calibri"/>
          <w:b w:val="0"/>
          <w:color w:val="3A4A28"/>
          <w:sz w:val="20"/>
        </w:rPr>
        <w:t>Energy transition risk — no meaningful diversification beyond hydrocarbons, with Scope 3 emissions excluded from net-zero ambitions, leaving EOG exposed to long-term demand decline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EOG's core business — physical extraction of hydrocarbons from shale formations — faces minimal direct AI disruption. The company actively uses AI for predictive maintenance, reservoir modeling, and real-time safety monitoring, positioning it as an AI beneficiary rather than victim [2]. EOG's operations supply energy to AI data centers, creating a secular demand tailwind from the AI buildout. However, long-term energy transition risk from AI-optimized renewables and electrification could reduce fossil fuel demand. AI Opportunity (1/1): The $5.6B Encino deal specifically targets regions benefiting from AI-driven electricity demand growth, and AI-enhanced drilling efficiency contributes to the guided low single-digit well cost reductions in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EOG Resources Q4/FY2025 Earnings Release and 2026 Capital Plan, February 24,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Comparably Culture Ratings, and PitchGrade AI Use Cases for EOG Resources,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Climate Action 100+ Assessment, and SEC filings regarding EOG Resources ESG controversies,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Seeking Alpha — EOG Resources analyst coverage and valuation,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EOG (EOG Resources),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