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EONR</w:t>
      </w:r>
      <w:r>
        <w:rPr>
          <w:rFonts w:ascii="Calibri" w:hAnsi="Calibri"/>
          <w:b/>
          <w:color w:val="1A2010"/>
          <w:sz w:val="40"/>
        </w:rPr>
        <w:t xml:space="preserve">  EON Resources Inc.</w:t>
      </w:r>
    </w:p>
    <w:p>
      <w:pPr>
        <w:spacing w:after="120"/>
      </w:pPr>
      <w:r>
        <w:rPr>
          <w:rFonts w:ascii="Calibri" w:hAnsi="Calibri"/>
          <w:b/>
          <w:color w:val="6E8450"/>
          <w:sz w:val="18"/>
        </w:rPr>
        <w:t>GROWTH SLEEVE · 2026-03-23 · Inspire: 34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E&amp;P · NYSE · United States</w:t>
      </w:r>
    </w:p>
    <w:p>
      <w:pPr>
        <w:spacing w:after="80"/>
      </w:pPr>
      <w:r>
        <w:rPr>
          <w:rFonts w:ascii="Calibri" w:hAnsi="Calibri"/>
          <w:b w:val="0"/>
          <w:color w:val="3A4A28"/>
          <w:sz w:val="20"/>
        </w:rPr>
        <w:t>EON Resources is an independent upstream oil and gas company focused on acquisition, development, and production in the Permian Basin, Texas. The company holds 20,000 leasehold acres with 750 producing and injection wells generating over 1,000 barrels of oil per day, and has announced a 2026 drilling program targeting 92 horizontal wells.</w:t>
      </w:r>
    </w:p>
    <w:p>
      <w:r>
        <w:rPr>
          <w:rFonts w:ascii="Calibri" w:hAnsi="Calibri"/>
          <w:b/>
          <w:color w:val="6E8450"/>
          <w:sz w:val="18"/>
        </w:rPr>
        <w:t>12 Employees · https://www.eon-r.com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TTM revenue of approximately $17.2M with $2.7M net income, achieving profitability recently after historical losses [1]. The company is still in early-stage development. AI Deployment (0/2): No evidence of AI deployment in operations. Market Share (1/2): Niche position in the Permian Basin with 20,000 leasehold acres; over 1,000 bopd production provides a base [1]. Pipeline (1/2): Ambitious 2026 drilling program targeting 92 San Andres horizontal wells with projected 500 bopd net new production at no cost via farmout. R&amp;D Intensity (1/1): Innovative waterflood enhancement programs across 100+ wells demonstrate operational innovation.</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EON's mission is standard upstream E&amp;P — acquiring and developing oil and gas properties — without differentiation or aspirational quality. Community Impact (0/2): Only 12 employees; minimal community presence or programs. Employee Retention (1/2): CEO Dante Caravaggio appointed December 2023 with 2.25 years tenure; management team average tenure of 2.3 years suggests recent formation [2]. Insider Buying (1/2): Caravaggio holds 1.38% of shares worth $461K, providing modest personal alignment.</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EON achieved profitability recently with $2.7M net income on $17.2M revenue and strong EBITDA margin of 96.8% [1][3]. Forward P/E of 2.6x appears deeply undervalued. D/E of 8.8% is very low. Revenue growth forecast of 166.5% is ambitious. However, the $45.3M market cap and $1.03 stock price place EON firmly in penny stock territory with minimal institutional coverage. The company will require 'a balanced approach to debt and equity raises' to fund 2026-2027 growth. Hedging covers 60% of production for 2026. Liquidity floor: 25.1M avg volume x $1.03 = $25.8M daily turnover passes.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EON Resources exhibits finite game characteristics as a micro-cap E&amp;P company focused on near-term production growth and capital markets activity. The 92-well drilling program and hedging strategy are rational but reflect survival-oriented execution rather than transformative vision. The company is too small and too early to evaluate infinite game commitment meaningfully.</w:t>
      </w:r>
    </w:p>
    <w:p>
      <w:pPr>
        <w:spacing w:before="200" w:after="40"/>
      </w:pPr>
      <w:r>
        <w:rPr>
          <w:rFonts w:ascii="Calibri" w:hAnsi="Calibri"/>
          <w:b/>
          <w:color w:val="1A2010"/>
          <w:sz w:val="22"/>
        </w:rPr>
        <w:t>Just Cause</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EON's purpose is standard hydrocarbon extraction without differentiation. CEO Caravaggio emphasizes 'earnings growth in 2026' as the primary narrative [1], reflecting finite metrics-driven motivation rather than a transcendent cause.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With only 12 employees and a management team averaging 2.3 years tenure, there is insufficient scale or history to evaluate team trust dynamics meaningfully [2]. The board includes experienced petroleum engineers (Bulpitt) and YPO members (Salvucci), suggesting governance ambition.</w:t>
      </w:r>
    </w:p>
    <w:p>
      <w:pPr>
        <w:spacing w:before="200" w:after="40"/>
      </w:pPr>
      <w:r>
        <w:rPr>
          <w:rFonts w:ascii="Calibri" w:hAnsi="Calibri"/>
          <w:b/>
          <w:color w:val="1A2010"/>
          <w:sz w:val="22"/>
        </w:rPr>
        <w:t>Worthy Rivals</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EON competes in the Permian Basin against massive operators like Pioneer Natural Resources, Diamondback Energy, and Concho Resources. The company's 1,000 bopd production is negligible relative to peers producing 500,000+ bopd, limiting competitive relevance.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farmout arrangement for 92 horizontal wells demonstrates creative capital allocation — securing net new production at no cost — which shows flexibility in structuring growth despite capital constraints [1].</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Announcing an ambitious 92-well drilling program and hedging 60% of production for 2026 shows conviction, but the company's acknowledgment that growth will require 'a balanced approach to debt and equity raises' suggests limited organic capital generation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EON Resources offers a micro-cap Permian Basin play at 2.6x forward earnings with 96.8% EBITDA margin and an ambitious 92-well drilling program that could deliver 500 bopd net new production at no cost through farmout arrangements [1]. Revenue growth is forecast at 166.5%, and 60% production hedging for 2026 provides downside protection. CEO Caravaggio projects new oil production coming online in Q3 2026 will be 'a major part of earnings growth.' The low 8.8% D/E provides balance sheet flexibility for growth capital. The stock has nearly doubled from 52-week lows.</w:t>
      </w:r>
    </w:p>
    <w:p>
      <w:pPr>
        <w:spacing w:after="120"/>
      </w:pPr>
      <w:r>
        <w:rPr>
          <w:rFonts w:ascii="Calibri" w:hAnsi="Calibri"/>
          <w:b w:val="0"/>
          <w:color w:val="3A4A28"/>
          <w:sz w:val="20"/>
        </w:rPr>
        <w:t>The bear case centers on EON's extreme micro-cap risk: $45.3M market cap, 12 employees, penny stock status ($1.03), and lack of institutional analyst coverage [1][3]. The company has a history of net losses (FY2024 loss of -$9.1M) and revenue declining 16% YoY. The 92-well program is ambitious but depends on farmout partner execution beyond EON's direct control. Oil price decline below $60 would make many of the planned wells uneconomic. Management's acknowledgment of needing 'debt and equity raises' signals future dilution risk. The ESG committee is still 'in the process of being established,' reflecting governance immaturity. As a volatile penny stock with limited liquidity, EON is unsuitable for institutional investment.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Q3 2026 new oil production coming online from San Andres horizontal wells, targeting net production lift of 100-300 bopd initially</w:t>
      </w:r>
    </w:p>
    <w:p>
      <w:pPr>
        <w:spacing w:before="40" w:after="40"/>
        <w:ind w:left="283"/>
      </w:pPr>
      <w:r>
        <w:rPr>
          <w:rFonts w:ascii="Calibri" w:hAnsi="Calibri"/>
          <w:b/>
          <w:color w:val="4A6B25"/>
          <w:sz w:val="20"/>
        </w:rPr>
        <w:t xml:space="preserve">2. </w:t>
      </w:r>
      <w:r>
        <w:rPr>
          <w:rFonts w:ascii="Calibri" w:hAnsi="Calibri"/>
          <w:b w:val="0"/>
          <w:color w:val="3A4A28"/>
          <w:sz w:val="20"/>
        </w:rPr>
        <w:t>Successful execution of farmout arrangement delivering 500 bopd net new production at no cost to EON by year-end 2026</w:t>
      </w:r>
    </w:p>
    <w:p>
      <w:pPr>
        <w:spacing w:before="40" w:after="40"/>
        <w:ind w:left="283"/>
      </w:pPr>
      <w:r>
        <w:rPr>
          <w:rFonts w:ascii="Calibri" w:hAnsi="Calibri"/>
          <w:b/>
          <w:color w:val="4A6B25"/>
          <w:sz w:val="20"/>
        </w:rPr>
        <w:t xml:space="preserve">3. </w:t>
      </w:r>
      <w:r>
        <w:rPr>
          <w:rFonts w:ascii="Calibri" w:hAnsi="Calibri"/>
          <w:b w:val="0"/>
          <w:color w:val="3A4A28"/>
          <w:sz w:val="20"/>
        </w:rPr>
        <w:t>Full-year 2026 revenue exceeding $30M+ as production growth materializes, potentially lifting the stock above penny stock territory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Oil price dependence — $1.03 penny stock with $45.3M market cap has no margin of safety if oil falls below $60 Brent</w:t>
      </w:r>
    </w:p>
    <w:p>
      <w:pPr>
        <w:spacing w:before="40" w:after="40"/>
        <w:ind w:left="283"/>
      </w:pPr>
      <w:r>
        <w:rPr>
          <w:rFonts w:ascii="Calibri" w:hAnsi="Calibri"/>
          <w:b/>
          <w:color w:val="4A6B25"/>
          <w:sz w:val="20"/>
        </w:rPr>
        <w:t xml:space="preserve">2. </w:t>
      </w:r>
      <w:r>
        <w:rPr>
          <w:rFonts w:ascii="Calibri" w:hAnsi="Calibri"/>
          <w:b w:val="0"/>
          <w:color w:val="3A4A28"/>
          <w:sz w:val="20"/>
        </w:rPr>
        <w:t>Dilution risk — management explicitly plans 'debt and equity raises' to fund 2026-2027 growth, likely diluting the micro-cap equity</w:t>
      </w:r>
    </w:p>
    <w:p>
      <w:pPr>
        <w:spacing w:before="40" w:after="40"/>
        <w:ind w:left="283"/>
      </w:pPr>
      <w:r>
        <w:rPr>
          <w:rFonts w:ascii="Calibri" w:hAnsi="Calibri"/>
          <w:b/>
          <w:color w:val="4A6B25"/>
          <w:sz w:val="20"/>
        </w:rPr>
        <w:t xml:space="preserve">3. </w:t>
      </w:r>
      <w:r>
        <w:rPr>
          <w:rFonts w:ascii="Calibri" w:hAnsi="Calibri"/>
          <w:b w:val="0"/>
          <w:color w:val="3A4A28"/>
          <w:sz w:val="20"/>
        </w:rPr>
        <w:t>Execution risk on 92-well drilling program through farmout partner — any partner difficulties would directly impact EON's production growth trajectory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Oil and gas production in the Permian Basin is a physical-world operation that AI cannot substitute. However, EON's small scale (12 employees, 1,000 bopd) means the company has no technological moat — AI-optimized drilling and production techniques used by larger operators could further disadvantage EON's competitive position. AI Opportunity (0/1): No evidence of AI adoption or AI-driven operational improvements; the company lacks the scale to invest in technology infrastructure.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34</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EON Resources 2026 Drilling Program Announcement and Hedging Update, March 2026</w:t>
      </w:r>
    </w:p>
    <w:p>
      <w:pPr>
        <w:spacing w:before="20" w:after="20"/>
        <w:ind w:left="170"/>
      </w:pPr>
      <w:r>
        <w:rPr>
          <w:rFonts w:ascii="Calibri" w:hAnsi="Calibri"/>
          <w:b/>
          <w:color w:val="4A6B25"/>
          <w:sz w:val="15"/>
        </w:rPr>
        <w:t xml:space="preserve">2. </w:t>
      </w:r>
      <w:r>
        <w:rPr>
          <w:rFonts w:ascii="Calibri" w:hAnsi="Calibri"/>
          <w:b w:val="0"/>
          <w:color w:val="3A4A28"/>
          <w:sz w:val="17"/>
        </w:rPr>
        <w:t>EON Resources leadership profile — Simply Wall St, company website, accessed March 2026</w:t>
      </w:r>
    </w:p>
    <w:p>
      <w:pPr>
        <w:spacing w:before="20" w:after="20"/>
        <w:ind w:left="170"/>
      </w:pPr>
      <w:r>
        <w:rPr>
          <w:rFonts w:ascii="Calibri" w:hAnsi="Calibri"/>
          <w:b/>
          <w:color w:val="4A6B25"/>
          <w:sz w:val="15"/>
        </w:rPr>
        <w:t xml:space="preserve">3. </w:t>
      </w:r>
      <w:r>
        <w:rPr>
          <w:rFonts w:ascii="Calibri" w:hAnsi="Calibri"/>
          <w:b w:val="0"/>
          <w:color w:val="3A4A28"/>
          <w:sz w:val="17"/>
        </w:rPr>
        <w:t>EON Resources ESG page and financial data — company website, Yahoo Finance, accessed March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EONR key statistics, accessed March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