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EPAM</w:t>
      </w:r>
      <w:r>
        <w:rPr>
          <w:rFonts w:ascii="Calibri" w:hAnsi="Calibri"/>
          <w:b/>
          <w:color w:val="1A2010"/>
          <w:sz w:val="40"/>
        </w:rPr>
        <w:t xml:space="preserve">  EPAM Systems, Inc.</w:t>
      </w:r>
    </w:p>
    <w:p>
      <w:pPr>
        <w:spacing w:after="120"/>
      </w:pPr>
      <w:r>
        <w:rPr>
          <w:rFonts w:ascii="Calibri" w:hAnsi="Calibri"/>
          <w:b/>
          <w:color w:val="6E8450"/>
          <w:sz w:val="18"/>
        </w:rPr>
        <w:t>GROWTH SLEEVE · 2026-05-02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EPAM Systems is a global provider of digital platform engineering and software development services, specializing in custom software, product and platform engineering, AI transformation consulting, and integrated technology solutions for enterprise clients across financial services, healthcare, life sciences, and technology industries.</w:t>
      </w:r>
    </w:p>
    <w:p>
      <w:r>
        <w:rPr>
          <w:rFonts w:ascii="Calibri" w:hAnsi="Calibri"/>
          <w:b/>
          <w:color w:val="6E8450"/>
          <w:sz w:val="18"/>
        </w:rPr>
        <w:t>62,850 Employees · https://www.epam.com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EPAM is actively pivoting to become an 'AI-Native' enterprise under new CEO Balazs Fejes, creating a new 'AI engineer' role and helping clients build agentic AI flows and re-architect systems for the AI era [2]. The company's 30+ years of engineering expertise provides a foundation for credible AI transformation consulting, differentiating it from pure-play outsourcers. Recognition as a top-3 Tech &amp; AI employer on Glassdoor 2026 validates the company's talent density and innovation culture [2]. However, the deceleration from 15.4% revenue growth in 2025 to guided 4.5-7.5% in 2026 suggests innovation is not yet translating to accelerating demand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Balazs Fejes (since September 2025) brings two decades of EPAM experience from CTO to CRO, emphasizing transparency, entrepreneurship, and measuring by outcomes rather than micromanagement [2]. EPAM ranked #7 on Glassdoor's Best-Led Companies 2025 and Top 3 in Tech &amp; AI for 2026, reflecting exceptional employee sentiment [2]. The company's $100M humanitarian commitment to Ukrainian employees during the 2022 invasion demonstrated values-driven leadership under extreme pressure [3]. Insider ownership and engineering-first culture drive genuine inspiration across the 62,850-person organization.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grew 12.8% YoY with 2026 guidance of $5.7-$5.9B and adjusted EPS of $12.60-$12.90 (beating consensus of $12.47) [1]. However, GAAP profit margin of only 6.9% is thin for a services company, and ROE of 10.3% is modest [4]. The forward P/E of 8.1x with PEG of 0.68 signals the market is deeply skeptical about sustainability of earnings given AI disruption risk to traditional IT services [1]. Nearly debt-free balance sheet (D/E 3.9%) provides financial resilience, and the stock decline from $132 SMA-50 to $112 creates potential value if the AI pivot succeeds.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EPAM demonstrates strong infinite game characteristics through its engineering-first culture, CEO succession planning (Fejes groomed internally over 20 years), $100M humanitarian response to Ukraine crisis, and willingness to fundamentally reimagine the business model for the AI era rather than defending legacy revenues [2][3].</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EPAM's mission of helping organizations become AI-native and digitally transformed provides a meaningful purpose in an era of technological disruption [2]. The company's response to the Ukraine crisis — committing $100M and relocating thousands of engineers — demonstrated that people come before profits, creating deep loyalty among employees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Best-Led Companies #7 (2025) and Top 3 Tech &amp; AI Employer (2026) represent exceptional employee trust metrics for a 62,850-person global organization [2]. CEO Fejes' emphasis on transparency, entrepreneurship, and outcome-based measurement creates an environment where engineers feel empowered. The company's AI upskilling programs invest in workforce evolution rather than displacement.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Accenture, Infosys, TCS, and Cognizant in IT services, plus emerging AI-native competitors. EPAM acknowledges this competition by differentiating on engineering depth and AI transformation expertise rather than competing on cost alone [2]. The AI coding tools themselves are worthy rivals that are forcing EPAM to evolve its value proposition.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demonstrating existential flexibility in real-time — pivoting from traditional software engineering services to AI transformation consulting, creating the 'AI engineer' role, and helping clients build agentic systems [2]. The planned leadership succession from founder Dobkin to Fejes reflects intentional organizational evolution. Previous flexibility shown in exiting Russia entirely and relocating operations within months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Fejes publicly states AI is 'bigger than cloud, faster than early internet' and is betting the company's future on becoming an AI-native enterprise — this requires courage when the traditional model still generates $5.5B+ in revenue [2]. The rapid and complete exit from Russia in 2022, despite short-term financial pain, demonstrated courage to prioritize values over convenience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EPAM Systems is at a critical inflection point — a premier engineering services firm with exceptional culture (Glassdoor Top 3 Tech &amp; AI 2026) and a new CEO aggressively pivoting toward AI transformation consulting. The forward P/E of 8x and PEG of 0.68 suggest the market has priced in significant AI disruption risk, creating potential deep value if EPAM successfully transitions from coding body shop to AI-native enterprise partner.</w:t>
      </w:r>
    </w:p>
    <w:p>
      <w:pPr>
        <w:spacing w:after="120"/>
      </w:pPr>
      <w:r>
        <w:rPr>
          <w:rFonts w:ascii="Calibri" w:hAnsi="Calibri"/>
          <w:b w:val="0"/>
          <w:color w:val="3A4A28"/>
          <w:sz w:val="20"/>
        </w:rPr>
        <w:t>The nearly debt-free balance sheet (D/E 3.9%), $5.7-5.9B revenue guidance, and $12.60-12.90 adjusted EPS for 2026 provide a solid foundation during the transition. The key question is whether AI coding tools will structurally shrink demand for outsourced development faster than EPAM can grow its AI consulting revenue. At 8x forward earnings, the risk/reward is attractive for patient investors who believe in management's ability to navigate this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AI-native enterprise pivot under CEO Fejes could re-rate the stock from distressed 8x forward P/E toward services industry average of 15-20x</w:t>
      </w:r>
    </w:p>
    <w:p>
      <w:pPr>
        <w:spacing w:before="40" w:after="40"/>
        <w:ind w:left="283"/>
      </w:pPr>
      <w:r>
        <w:rPr>
          <w:rFonts w:ascii="Calibri" w:hAnsi="Calibri"/>
          <w:b/>
          <w:color w:val="4A6B25"/>
          <w:sz w:val="20"/>
        </w:rPr>
        <w:t xml:space="preserve">2. </w:t>
      </w:r>
      <w:r>
        <w:rPr>
          <w:rFonts w:ascii="Calibri" w:hAnsi="Calibri"/>
          <w:b w:val="0"/>
          <w:color w:val="3A4A28"/>
          <w:sz w:val="20"/>
        </w:rPr>
        <w:t>AI transformation consulting and agentic AI implementation services represent a massive new TAM as enterprises rush to modernize systems</w:t>
      </w:r>
    </w:p>
    <w:p>
      <w:pPr>
        <w:spacing w:before="40" w:after="40"/>
        <w:ind w:left="283"/>
      </w:pPr>
      <w:r>
        <w:rPr>
          <w:rFonts w:ascii="Calibri" w:hAnsi="Calibri"/>
          <w:b/>
          <w:color w:val="4A6B25"/>
          <w:sz w:val="20"/>
        </w:rPr>
        <w:t xml:space="preserve">3. </w:t>
      </w:r>
      <w:r>
        <w:rPr>
          <w:rFonts w:ascii="Calibri" w:hAnsi="Calibri"/>
          <w:b w:val="0"/>
          <w:color w:val="3A4A28"/>
          <w:sz w:val="20"/>
        </w:rPr>
        <w:t>FY2026 EPS guidance of $12.60-12.90 beating consensus suggests management has credibility gap with the market that could narrow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assistants (GitHub Copilot, Cursor, Devin) could structurally reduce demand for outsourced software development faster than EPAM can transition revenue mix</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15.4% in 2025 to guided 4.5-7.5% in 2026 may indicate early demand erosion rather than temporary softness</w:t>
      </w:r>
    </w:p>
    <w:p>
      <w:pPr>
        <w:spacing w:before="40" w:after="40"/>
        <w:ind w:left="283"/>
      </w:pPr>
      <w:r>
        <w:rPr>
          <w:rFonts w:ascii="Calibri" w:hAnsi="Calibri"/>
          <w:b/>
          <w:color w:val="4A6B25"/>
          <w:sz w:val="20"/>
        </w:rPr>
        <w:t xml:space="preserve">3. </w:t>
      </w:r>
      <w:r>
        <w:rPr>
          <w:rFonts w:ascii="Calibri" w:hAnsi="Calibri"/>
          <w:b w:val="0"/>
          <w:color w:val="3A4A28"/>
          <w:sz w:val="20"/>
        </w:rPr>
        <w:t>Geopolitical concentration risk — significant workforce in Central/Eastern Europe (Ukraine, Poland, Belarus historically) exposes the company to regional instability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represents the defining existential challenge for EPAM — coding AI assistants (GitHub Copilot, Cursor, Devin) directly threaten the core software engineering services business by enabling clients to do more with fewer outsourced developers [1][2]. The forward P/E of 8x reflects market pricing of significant disruption risk. However, CEO Fejes is aggressively positioning EPAM as an AI transformation partner rather than a coding body shop, emphasizing agentic AI, system re-architecture, and AI consulting [2]. The outcome is genuinely uncertain — EPAM could emerge stronger if it successfully transitions to higher-value AI services, or face structural decline if AI commoditizes custom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EPAM Systems Q4 and FY2025 Earnings Release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EPAM Systems CEO Balazs Fejes Interviews, Glassdoor Awards, and AI Strategy Announcements,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Philadelphia Inquirer and Bloomberg — EPAM Ukraine/Russia Crisis Response,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EPAM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