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EPD</w:t>
      </w:r>
      <w:r>
        <w:rPr>
          <w:rFonts w:ascii="Calibri" w:hAnsi="Calibri"/>
          <w:b/>
          <w:color w:val="1A2010"/>
          <w:sz w:val="40"/>
        </w:rPr>
        <w:t xml:space="preserve">  Enterprise Products Partners L.P.</w:t>
      </w:r>
    </w:p>
    <w:p>
      <w:pPr>
        <w:spacing w:after="120"/>
      </w:pPr>
      <w:r>
        <w:rPr>
          <w:rFonts w:ascii="Calibri" w:hAnsi="Calibri"/>
          <w:b/>
          <w:color w:val="6E8450"/>
          <w:sz w:val="18"/>
        </w:rPr>
        <w:t>DIVIDEND SLEEVE · 2026-04-01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Enterprise Products Partners L.P. is one of the largest publicly traded partnerships and a leading North American provider of midstream energy services. The company operates approximately 50,000 miles of pipelines, 260 million barrels of NGL/crude/refined products storage, and 14 billion cubic feet of natural gas storage across four segments: NGL Pipelines &amp; Services, Crude Oil Pipelines &amp; Services, Natural Gas Pipelines &amp; Services, and Petrochemical &amp; Refined Products Services.</w:t>
      </w:r>
    </w:p>
    <w:p>
      <w:r>
        <w:rPr>
          <w:rFonts w:ascii="Calibri" w:hAnsi="Calibri"/>
          <w:b/>
          <w:color w:val="6E8450"/>
          <w:sz w:val="18"/>
        </w:rPr>
        <w:t>https://www.enterpriseproducts.com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EPD has expanded its infrastructure footprint through organic growth projects, including the second flex train at its ethane/propane export terminal (180,000 bpd ethane or 360,000 bpd propane capacity, ramping in H1 2026) and $4B+ in growth CapEx deployed in 2025 [1]. These are incremental capacity additions rather than product innovations or business model transformations. AI Deployment (0/2): No evidence of AI-powered products or quantified AI-driven cost savings in EPD's midstream operations — the company has not publicly discussed AI deployment in earnings calls or investor presentations. Market Share (1/2): EPD is the dominant NGL midstream operator in North America and one of the few MLPs providing services across the full hydrocarbon value chain, with 50,000+ miles of pipelines and leading positions in NGL fractionation and export [1]. Pipeline (1/2): $4.8B growth project backlog with the second flex train ramp in H1 2026 and additional expansion projects, though Co-CEO Fowler guided to only modest 3-5% EBITDA growth in 2026 before accelerating to ~10% in 2027 [1]. R&amp;D Intensity (0/1): Midstream MLPs do not invest in R&amp;D — innovation comes through capital project execution, not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Enterprise Products' stated commitment to 'delivering energy products safely and reliably' through a partnership structure that aligns management with unitholders is clear and well-executed but not distinctively purpose-driven — it identifies what the company does without articulating a deeper vision beyond operational excellence [3]. Community Impact (2/2): EPD publishes comprehensive sustainability reports through the EIC ESG framework, reporting on emissions reduction, community engagement, and safety metrics. The company has maintained a strong safety record across its 50,000+ mile pipeline network, and the dedicated VP of ESG (Katherine Arblaster at subsidiary level; Christian Nelly leads sustainability at EPD) demonstrates institutional commitment to community responsibility [3]. Employee Retention (1/2): EPD's co-CEO structure (Teague since 1999, Fowler since 2016) and insider ownership of 33% signal organizational stability and alignment, though specific workforce retention data is not publicly available for the partnership. Insider Buying (1/2): Insiders hold 33% of units — among the highest insider ownership levels in the midstream sector — and the partnership structure inherently aligns management distributions with unitholder returns, though recent open-market insider purchases were not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with strong scores across most metrics. D/E of 114% is elevated but within range for an MLP (score 0.81), ROE of 19.5% exceeds the 15% target, and forward P/E of 12.2x is attractive [4]. Revenue declined 6.4% YoY to $52.6B (driven by commodity price movements, not volume declines), partially offset by estimated 5yr revenue CAGR of ~8% [1]. The dividend profile is EPD's strongest feature: 26 consecutive years of distribution increases, payout ratio of 81.2% (high but covered at 1.66x by DCF), and a tax-advantaged 5.75% yield [1][4]. The 5yr distribution growth CAGR of ~3.9% is below the 6% target, reflecting EPD's conservative distribution policy that prioritizes balance sheet strength over aggressive growth. Profit margin of 11.1% is modest for midstream due to the revenue pass-through nature of the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Enterprise Products Partners exhibits strong infinite game characteristics — the co-CEO structure with 33% insider ownership, 26 consecutive years of distribution increases, and conservative balance sheet management all point to a company built for endurance rather than quarterly performance. The partnership model inherently aligns management with long-term unitholder interests.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EPD's purpose of delivering energy products safely and reliably through a partnership that aligns management with unitholders has been consistently executed for nearly three decades [1][3]. The company's founding philosophy — management as significant co-investors alongside unitholders — creates a structural alignment rare in corporate America. However, this is ultimately about reliable energy delivery and value creation rather than a transformative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co-CEO structure (Teague, age 80, since 1999; Fowler since 2016) provides leadership continuity and stability rare in the midstream sector [2]. The 33% insider ownership means management's wealth is tied to unitholder outcomes, creating a natural trust structure. However, no specific evidence of employee empowerment, psychological safety culture, or workforce engagement data was found for the partnership.</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EPD operates in a competitive midstream landscape alongside Energy Transfer, MPLX, and Williams Companies, and management consistently positions EPD as differentiated through its integrated value chain and conservative financial management rather than by denigrating competitors [1]. The company's focus on self-improvement metrics (distribution coverage, leverage targets, return on capital) rather than market share warfare reflects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EPD has evolved from a simple NGL pipeline operator to a fully integrated midstream platform spanning four segments across the hydrocarbon value chain, including significant petrochemical and export terminal capabilities [1]. The ethane/propane export terminal expansion represents adaptation to the global LPG market opportunity. These are meaningful but incremental evolutions rather than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EPD maintained its distribution through the 2020 COVID oil price collapse when many MLP peers cut distributions, demonstrating conviction in the long-term cash flow durability of the business [1]. The company has consistently prioritized balance sheet strength over aggressive distribution growth (3.9% 5yr CAGR vs peers at 5-8%), choosing financial resilience over near-term yield competition — a patient approach that reflects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Enterprise Products Partners offers a compelling income investment with a tax-advantaged 5.75% distribution yield, 26 consecutive years of distribution increases, and 1.66x DCF coverage that provides ample safety margin [1][4]. At 12.2x forward earnings and 2.75x book value, EPD trades at a significant discount to the S&amp;P 500 while offering one of the most defensible cash flow streams in energy — 50,000+ miles of pipelines, dominant NGL fractionation capacity, and growing export terminal capabilities. The $4.8B growth project backlog (including the second flex train ramping in H1 2026) underpins Co-CEO Fowler's guidance for ~10% EBITDA growth in 2027, while 2026 CapEx tapering to $2-2.5B should generate $1.5B in excess distributable cash flow for debt paydown and buybacks [1]. Wells Fargo's March 2026 upgrade to Overweight reflects growing analyst confidence in EPD's role in global energy logistics, particularly as AI-driven data center expansion increases natural gas demand.</w:t>
      </w:r>
    </w:p>
    <w:p>
      <w:pPr>
        <w:spacing w:after="120"/>
      </w:pPr>
      <w:r>
        <w:rPr>
          <w:rFonts w:ascii="Calibri" w:hAnsi="Calibri"/>
          <w:b w:val="0"/>
          <w:color w:val="3A4A28"/>
          <w:sz w:val="20"/>
        </w:rPr>
        <w:t>The bear case centers on EPD's exposure to energy transition risks and modest near-term growth. Revenue declined 6.4% YoY to $52.6B in 2025 (commodity price driven), and Co-CEO Fowler guided to only 3-5% EBITDA growth in 2026 — 'really just modest growth' — before the 2027 acceleration [1]. D/E of 114% is elevated relative to non-MLP peers, though typical for the midstream sector. The 81.2% payout ratio leaves limited room for distribution growth acceleration beyond the ~3.9% 5yr CAGR. Environmental risks are real: the EPA cited EPD in December 2025 for mishandling a 97,000-gallon gasoline spill near the Animas River in Colorado, with benzene contamination exceeding toxicity limits by 9x [5]. The partnership structure (K-1 tax reporting) limits the investor base to those comfortable with MLP tax treatment. Long-term, the energy transition poses structural demand risk for hydrocarbon midstream infrastructure, though this is partially offset by AI-driven electricity demand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Second ethane/propane export flex train ramping to full capacity in H1 2026 (180,000 bpd ethane or 360,000 bpd propane), driving volume growth across the NGL value chain [1]</w:t>
      </w:r>
    </w:p>
    <w:p>
      <w:pPr>
        <w:spacing w:before="40" w:after="40"/>
        <w:ind w:left="283"/>
      </w:pPr>
      <w:r>
        <w:rPr>
          <w:rFonts w:ascii="Calibri" w:hAnsi="Calibri"/>
          <w:b/>
          <w:color w:val="4A6B25"/>
          <w:sz w:val="20"/>
        </w:rPr>
        <w:t xml:space="preserve">2. </w:t>
      </w:r>
      <w:r>
        <w:rPr>
          <w:rFonts w:ascii="Calibri" w:hAnsi="Calibri"/>
          <w:b w:val="0"/>
          <w:color w:val="3A4A28"/>
          <w:sz w:val="20"/>
        </w:rPr>
        <w:t>Growth CapEx tapering from $4-4.5B (2025) to $2-2.5B (2026) should generate ~$1.5B in excess distributable cash flow for accelerated buybacks and debt paydown [1]</w:t>
      </w:r>
    </w:p>
    <w:p>
      <w:pPr>
        <w:spacing w:before="40" w:after="40"/>
        <w:ind w:left="283"/>
      </w:pPr>
      <w:r>
        <w:rPr>
          <w:rFonts w:ascii="Calibri" w:hAnsi="Calibri"/>
          <w:b/>
          <w:color w:val="4A6B25"/>
          <w:sz w:val="20"/>
        </w:rPr>
        <w:t xml:space="preserve">3. </w:t>
      </w:r>
      <w:r>
        <w:rPr>
          <w:rFonts w:ascii="Calibri" w:hAnsi="Calibri"/>
          <w:b w:val="0"/>
          <w:color w:val="3A4A28"/>
          <w:sz w:val="20"/>
        </w:rPr>
        <w:t>AI data center expansion driving incremental natural gas demand — projected to significantly increase U.S. gas consumption by 2030, directly benefiting EPD's pipeline throughput volumes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EPA citation for mishandling 97,000-gallon Colorado gasoline spill (benzene contamination 9x toxicity limit) highlights ongoing environmental liability risk for the 50,000+ mile pipeline network [5]</w:t>
      </w:r>
    </w:p>
    <w:p>
      <w:pPr>
        <w:spacing w:before="40" w:after="40"/>
        <w:ind w:left="283"/>
      </w:pPr>
      <w:r>
        <w:rPr>
          <w:rFonts w:ascii="Calibri" w:hAnsi="Calibri"/>
          <w:b/>
          <w:color w:val="4A6B25"/>
          <w:sz w:val="20"/>
        </w:rPr>
        <w:t xml:space="preserve">2. </w:t>
      </w:r>
      <w:r>
        <w:rPr>
          <w:rFonts w:ascii="Calibri" w:hAnsi="Calibri"/>
          <w:b w:val="0"/>
          <w:color w:val="3A4A28"/>
          <w:sz w:val="20"/>
        </w:rPr>
        <w:t>Near-term EBITDA growth guided at only 3-5% for 2026 with 'really just modest growth' before the 2027 acceleration — distribution growth may remain below inflation in the interim [1]</w:t>
      </w:r>
    </w:p>
    <w:p>
      <w:pPr>
        <w:spacing w:before="40" w:after="40"/>
        <w:ind w:left="283"/>
      </w:pPr>
      <w:r>
        <w:rPr>
          <w:rFonts w:ascii="Calibri" w:hAnsi="Calibri"/>
          <w:b/>
          <w:color w:val="4A6B25"/>
          <w:sz w:val="20"/>
        </w:rPr>
        <w:t xml:space="preserve">3. </w:t>
      </w:r>
      <w:r>
        <w:rPr>
          <w:rFonts w:ascii="Calibri" w:hAnsi="Calibri"/>
          <w:b w:val="0"/>
          <w:color w:val="3A4A28"/>
          <w:sz w:val="20"/>
        </w:rPr>
        <w:t>Long-term energy transition risk as renewables and electrification reduce structural demand for hydrocarbon processing and transportation, potentially stranding midstream infrastructure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EPD's midstream infrastructure — 50,000+ miles of pipelines, NGL fractionation facilities, storage caverns, and marine export terminals — is physical-world infrastructure that AI structurally cannot displace [1]. Pipeline operations require physical assets, regulatory permits, right-of-way access, and decades of capital investment that no AI tool can replicate. Moreover, AI data center expansion is driving incremental electricity demand, which increases natural gas consumption and throughput volumes on EPD's pipeline network — AI is a net demand driver for midstream energy services. Analysts have identified zero AI substitution risk for midstream MLPs. AI Opportunity (1/1): While EPD does not sell AI products, the company benefits from AI-driven demand growth — data centers are projected to significantly increase U.S. natural gas demand by 2030, directly increasing utilization of EPD's gas pipeline and NGL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Enterprise Products Partners Q4 2025 Earnings Call and FY2026 Guidance — Investing.com, February 2026</w:t>
      </w:r>
    </w:p>
    <w:p>
      <w:pPr>
        <w:spacing w:before="20" w:after="20"/>
        <w:ind w:left="170"/>
      </w:pPr>
      <w:r>
        <w:rPr>
          <w:rFonts w:ascii="Calibri" w:hAnsi="Calibri"/>
          <w:b/>
          <w:color w:val="4A6B25"/>
          <w:sz w:val="15"/>
        </w:rPr>
        <w:t xml:space="preserve">2. </w:t>
      </w:r>
      <w:r>
        <w:rPr>
          <w:rFonts w:ascii="Calibri" w:hAnsi="Calibri"/>
          <w:b w:val="0"/>
          <w:color w:val="3A4A28"/>
          <w:sz w:val="17"/>
        </w:rPr>
        <w:t>Enterprise Products Partners Leadership Team — enterpriseproducts.com,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Enterprise Products Partners ESG and Sustainability Overview — enterpriseproducts.com,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yfinance data for EPD retrieved April 2026 — financial metrics, distribution history, insider holdings</w:t>
      </w:r>
    </w:p>
    <w:p>
      <w:pPr>
        <w:spacing w:before="20" w:after="20"/>
        <w:ind w:left="170"/>
      </w:pPr>
      <w:r>
        <w:rPr>
          <w:rFonts w:ascii="Calibri" w:hAnsi="Calibri"/>
          <w:b/>
          <w:color w:val="4A6B25"/>
          <w:sz w:val="15"/>
        </w:rPr>
        <w:t xml:space="preserve">5. </w:t>
      </w:r>
      <w:r>
        <w:rPr>
          <w:rFonts w:ascii="Calibri" w:hAnsi="Calibri"/>
          <w:b w:val="0"/>
          <w:color w:val="3A4A28"/>
          <w:sz w:val="17"/>
        </w:rPr>
        <w:t>EPA Cites Enterprise Products for Colorado Gasoline Spill Mishandling — Colorado Sun, December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