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EQH</w:t>
      </w:r>
      <w:r>
        <w:rPr>
          <w:rFonts w:ascii="Calibri" w:hAnsi="Calibri"/>
          <w:b/>
          <w:color w:val="1A2010"/>
          <w:sz w:val="40"/>
        </w:rPr>
        <w:t xml:space="preserve">  Equitable Holdings, Inc.</w:t>
      </w:r>
    </w:p>
    <w:p>
      <w:pPr>
        <w:spacing w:after="120"/>
      </w:pPr>
      <w:r>
        <w:rPr>
          <w:rFonts w:ascii="Calibri" w:hAnsi="Calibri"/>
          <w:b/>
          <w:color w:val="6E8450"/>
          <w:sz w:val="18"/>
        </w:rPr>
        <w:t>DIVIDEND SLEEVE · 2026-04-09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Equitable Holdings operates as a diversified financial services company through six segments: Individual Retirement, Group Retirement, Asset Management, Protection Solutions, Wealth Management, and Legacy. Founded in 1859 (formerly AXA Equitable), the company manages $1.1 trillion in AUM/A and provides annuities, life insurance, investment management, and employee benefits to individuals and institutions.</w:t>
      </w:r>
    </w:p>
    <w:p>
      <w:r>
        <w:rPr>
          <w:rFonts w:ascii="Calibri" w:hAnsi="Calibri"/>
          <w:b/>
          <w:color w:val="6E8450"/>
          <w:sz w:val="18"/>
        </w:rPr>
        <w:t>8,000 Employees · https://www.equitableholdings.com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Equitable completed its transformation from AXA subsidiary to independent public company (IPO 2018) and has grown AUM/A to $1.1 trillion (up 10% YoY), while non-GAAP operating earnings reached $1.9B adjusted for notable items in 2025 [1]. Steady execution but no transformative product or business model innovation. AI Deployment (1/2): CEO Pearson has acknowledged the need to become 'more agile and innovative' in the age of AI, and the company's New Ways of Working (NWOW) initiative creates organizational readiness for AI adoption [2]. No specific AI-driven products or quantified cost savings. Market Share (1/2): Equitable is a meaningful player in variable annuities, group retirement, and wealth management with $1.1T AUM/A, but competes against larger players (Fidelity, Vanguard, MetLife) without category dominance [1]. Pipeline (1/2): Cash generation projected to grow from $1.6B (2025) to $1.8B (2026) to $2.0B (2027), with targeted 12-15% non-GAAP EPS CAGR for 2023-2027 [1]. R&amp;D Intensity (1/1): Significant investment in the NWOW organizational transformation, OKR adoption, and agile teams, indicating above-average process innovation for the insurance/asset management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Equitable's purpose of helping people secure their financial well-being connects to a meaningful societal need, and the company's 165+ year history validates endurance [1]. The Harvard Business Review featured CEO Pearson's transformation story — 'How Equitable Confronted Its Inertia After 160 Years' — demonstrating deliberate, thoughtful organizational purpose work [2]. Community Impact (1/2): Equitable serves retirement, insurance, and wealth management needs across education, municipal, and not-for-profit sectors, including group retirement for teachers and public employees [1]. No distinctive charitable programs identified. Employee Retention (1/2): The NWOW initiative explicitly focuses on employee empowerment — 'creating OKRs, agile teams, and opportunities for employees to step into leadership' — and the executive team is rated A- on Comparably (top 15% of similar-size companies) [2]. Insider Buying (1/2): CEO Pearson received 1,660 stock award shares in March 2026, with multiple executives receiving grants [4]. Equity alignment through awards but no significant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Equitable's GAAP financials are severely distorted by insurance accounting — the $1.4B net loss in 2025 reflects mark-to-market adjustments on the Legacy segment's GMxB book, not operational deterioration [1]. Non-GAAP operating earnings were $1.9B ($6.21/share adjusted), and the company projects $1.8B cash generation in 2026 [1]. Forward P/E of 4.36x is extremely low, reflecting market skepticism about GAAP earnings volatility. D/E of 429.6% is above the 300% floor, typical for insurance companies with significant policyholder reserves. GAAP ROE of -38.9% and profit margin of -11.8% score zero, though operating ROE is substantially higher. The dividend profile is solid: 8 years paid, 7 consecutive years of growth, 9.73% 5-year dividend growth CAGR, and a 76.7% GAAP payout ratio (much lower on non-GAAP basis) [5]. Infrastructure scores 5/10 mechanically, dragged by GAAP D/E and profitability metrics that misrepresent the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Equitable Holdings demonstrates strong infinite game characteristics for a financial services company — the 165+ year history, CEO Pearson's deliberate organizational transformation (NWOW), and the focus on long-term capability building over quarterly optimization all reflect endurance-oriented thinking. The HBR case study on confronting institutional inertia validates the commitment to sustained relevance.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Equitable's purpose of securing financial well-being for individuals and communities has been validated by 165+ years of continuous operation through world wars, depressions, and financial crises [1]. The company's service to educators, municipalities, and not-for-profit organizations through group retirement adds depth to the cause. CEO Pearson's NWOW transformation was explicitly driven by the need to remain relevant to customers, not just profitable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Equitable's NWOW initiative is specifically designed to create empowerment and psychological safety — adopting OKRs from John Doerr, agile teams from 'Agile for Grownups,' and leadership principles from 'Turn the Ship Around' (a military leadership book about distributing authority) [2]. The A- executive team rating on Comparably (top 15%) and the deliberate creation of opportunities for employees to 'step into leadership' demonstrate genuine organizational trust-building. The HBR case study validates the cultural transformation effort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Equitable's leadership explicitly studies and learns from other organizations — visiting Spark (New Zealand telecom) to learn about agile adoption, reading Doerr and other management thinkers, and acknowledging that the company needed to confront its own inertia after 160 years [2]. The competitive language is about self-improvement and adaptation, not defeating Fidelity or MetLife.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Equitable has evolved from a French-owned subsidiary (AXA) to an independent public company (2018 IPO), fundamentally restructuring its identity and governance [1]. The NWOW initiative represents organizational reinvention, shifting from a bureaucratic 160-year-old institution to an agile, OKR-driven organization. However, the core business model — annuities, insurance, asset management — has not fundamentally changed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Pearson's NWOW transformation — featured in Harvard Business Review — required confronting deep institutional inertia in a 160-year-old company, adopting agile teams and OKRs in a highly regulated financial services firm [2]. However, the GAAP net loss of $1.4B in 2025 and the heavy reliance on non-GAAP metrics to tell the growth story raises questions about whether leadership is truly sacrificing short-term results for long-term capability, or managing optics through alternative metrics. The 12-15% non-GAAP EPS CAGR target has not yet been validated by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Equitable Holdings is a deeply undervalued financial services franchise trading at 4.4x forward earnings with $1.1 trillion in AUM/A (up 10% YoY), a targeted 12-15% non-GAAP EPS CAGR through 2027, and cash generation growing from $1.6B (2025) to $1.8B (2026) to $2.0B (2027) [1]. Non-GAAP operating earnings of $1.9B ($6.21/share) in 2025 demonstrate a highly profitable core business obscured by GAAP mark-to-market volatility on the Legacy GMxB book. The dividend has grown 7 consecutive years at a 9.73% CAGR, and CEO Pearson's NWOW transformation — featured in Harvard Business Review — is creating a more agile organization capable of adapting to AI and fintech disruption [2]. At $38.84/share ($10.9B market cap), Equitable trades at a significant discount to book value and peers.</w:t>
      </w:r>
    </w:p>
    <w:p>
      <w:pPr>
        <w:spacing w:after="120"/>
      </w:pPr>
      <w:r>
        <w:rPr>
          <w:rFonts w:ascii="Calibri" w:hAnsi="Calibri"/>
          <w:b w:val="0"/>
          <w:color w:val="3A4A28"/>
          <w:sz w:val="20"/>
        </w:rPr>
        <w:t>The bear case centers on GAAP earnings volatility and balance sheet complexity. The $1.4B GAAP net loss in 2025 (vs. $1.3B profit in 2024) reflects the Legacy segment's exposure to equity market movements through variable annuity guarantees, creating earnings unpredictability that suppresses the multiple [1]. D/E of 429.6% is extreme even by insurance standards, and the $7.7B debt load against volatile mark-to-market equity creates leverage risk. Revenue declined 14.2% YoY and the 3-year CAGR is -2.7%, reflecting both GAAP accounting distortions and competitive pressures in the asset management and annuity markets. The asset management segment (AllianceBernstein) faces secular fee compression from passive investing and AI-driven strategies. The Legacy GMxB book is a long-tail liability that could produce further GAAP losses in equity market downturns [1]. EQH's GAAP payout ratio of 76.7% appears stretched, though the non-GAAP payout is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generation ramp from $1.6B (2025) to $1.8B (2026) to $2.0B (2027) supporting dividend growth and share buybacks [1]</w:t>
      </w:r>
    </w:p>
    <w:p>
      <w:pPr>
        <w:spacing w:before="40" w:after="40"/>
        <w:ind w:left="283"/>
      </w:pPr>
      <w:r>
        <w:rPr>
          <w:rFonts w:ascii="Calibri" w:hAnsi="Calibri"/>
          <w:b/>
          <w:color w:val="4A6B25"/>
          <w:sz w:val="20"/>
        </w:rPr>
        <w:t xml:space="preserve">2. </w:t>
      </w:r>
      <w:r>
        <w:rPr>
          <w:rFonts w:ascii="Calibri" w:hAnsi="Calibri"/>
          <w:b w:val="0"/>
          <w:color w:val="3A4A28"/>
          <w:sz w:val="20"/>
        </w:rPr>
        <w:t>12-15% non-GAAP EPS CAGR target for 2023-2027 — if achieved, the 4.4x forward P/E would imply substantial multiple expansion potential [1]</w:t>
      </w:r>
    </w:p>
    <w:p>
      <w:pPr>
        <w:spacing w:before="40" w:after="40"/>
        <w:ind w:left="283"/>
      </w:pPr>
      <w:r>
        <w:rPr>
          <w:rFonts w:ascii="Calibri" w:hAnsi="Calibri"/>
          <w:b/>
          <w:color w:val="4A6B25"/>
          <w:sz w:val="20"/>
        </w:rPr>
        <w:t xml:space="preserve">3. </w:t>
      </w:r>
      <w:r>
        <w:rPr>
          <w:rFonts w:ascii="Calibri" w:hAnsi="Calibri"/>
          <w:b w:val="0"/>
          <w:color w:val="3A4A28"/>
          <w:sz w:val="20"/>
        </w:rPr>
        <w:t>NWOW organizational transformation improving agility, operational efficiency, and competitive positioning against fintech disruptors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GMxB book generating GAAP earnings volatility — equity market downturn could produce another multi-billion dollar net loss, suppressing the stock multiple [1]</w:t>
      </w:r>
    </w:p>
    <w:p>
      <w:pPr>
        <w:spacing w:before="40" w:after="40"/>
        <w:ind w:left="283"/>
      </w:pPr>
      <w:r>
        <w:rPr>
          <w:rFonts w:ascii="Calibri" w:hAnsi="Calibri"/>
          <w:b/>
          <w:color w:val="4A6B25"/>
          <w:sz w:val="20"/>
        </w:rPr>
        <w:t xml:space="preserve">2. </w:t>
      </w:r>
      <w:r>
        <w:rPr>
          <w:rFonts w:ascii="Calibri" w:hAnsi="Calibri"/>
          <w:b w:val="0"/>
          <w:color w:val="3A4A28"/>
          <w:sz w:val="20"/>
        </w:rPr>
        <w:t>D/E of 429.6% creates leverage risk in a rising-rate environment, though insurance company capital structures differ from industrial companies [5]</w:t>
      </w:r>
    </w:p>
    <w:p>
      <w:pPr>
        <w:spacing w:before="40" w:after="40"/>
        <w:ind w:left="283"/>
      </w:pPr>
      <w:r>
        <w:rPr>
          <w:rFonts w:ascii="Calibri" w:hAnsi="Calibri"/>
          <w:b/>
          <w:color w:val="4A6B25"/>
          <w:sz w:val="20"/>
        </w:rPr>
        <w:t xml:space="preserve">3. </w:t>
      </w:r>
      <w:r>
        <w:rPr>
          <w:rFonts w:ascii="Calibri" w:hAnsi="Calibri"/>
          <w:b w:val="0"/>
          <w:color w:val="3A4A28"/>
          <w:sz w:val="20"/>
        </w:rPr>
        <w:t>Asset management fee compression from passive investing and AI-driven investment strategies threatening the AllianceBernstein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Equitable's core businesses — retirement annuities, life insurance, and wealth management — involve complex regulatory requirements, long-term contractual obligations, and personal advisory relationships that create meaningful defensive moats against AI displacement [1]. Insurance underwriting and claims processing may be enhanced by AI, but regulatory frameworks, fiduciary requirements, and the trust-based advisory model provide structural protection. However, the asset management segment (AllianceBernstein) faces competitive pressure from AI-driven investment strategies and robo-advisors that could compress fees [1]. AI Opportunity (0/1): While Equitable is exploring AI for organizational agility through the NWOW initiative, no quantified AI-driven revenue or specific AI products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Equitable Holdings Full Year and Q4 2025 Earnings Release — $1.9B non-GAAP operating earnings, 2026-2027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Harvard Business Review — 'How Equitable Confronted Its Inertia After 160 Years in Business', CEO Mark Pearson NWOW initiative, January 2026</w:t>
      </w:r>
    </w:p>
    <w:p>
      <w:pPr>
        <w:spacing w:before="20" w:after="20"/>
        <w:ind w:left="170"/>
      </w:pPr>
      <w:r>
        <w:rPr>
          <w:rFonts w:ascii="Calibri" w:hAnsi="Calibri"/>
          <w:b/>
          <w:color w:val="4A6B25"/>
          <w:sz w:val="15"/>
        </w:rPr>
        <w:t xml:space="preserve">3. </w:t>
      </w:r>
      <w:r>
        <w:rPr>
          <w:rFonts w:ascii="Calibri" w:hAnsi="Calibri"/>
          <w:b w:val="0"/>
          <w:color w:val="3A4A28"/>
          <w:sz w:val="17"/>
        </w:rPr>
        <w:t>Equitable Holdings ESG Report 2022 — governance structure, Angela Martin ESG strategy lead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 data for EQH,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EQH (Equitable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