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EQNR</w:t>
      </w:r>
      <w:r>
        <w:rPr>
          <w:rFonts w:ascii="Calibri" w:hAnsi="Calibri"/>
          <w:b/>
          <w:color w:val="1A2010"/>
          <w:sz w:val="40"/>
        </w:rPr>
        <w:t xml:space="preserve">  Equinor ASA</w:t>
      </w:r>
    </w:p>
    <w:p>
      <w:pPr>
        <w:spacing w:after="120"/>
      </w:pPr>
      <w:r>
        <w:rPr>
          <w:rFonts w:ascii="Calibri" w:hAnsi="Calibri"/>
          <w:b/>
          <w:color w:val="6E8450"/>
          <w:sz w:val="18"/>
        </w:rPr>
        <w:t>DIVIDEND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Norway</w:t>
      </w:r>
    </w:p>
    <w:p>
      <w:pPr>
        <w:spacing w:after="80"/>
      </w:pPr>
      <w:r>
        <w:rPr>
          <w:rFonts w:ascii="Calibri" w:hAnsi="Calibri"/>
          <w:b w:val="0"/>
          <w:color w:val="3A4A28"/>
          <w:sz w:val="20"/>
        </w:rPr>
        <w:t>Equinor ASA is a Norwegian state-controlled integrated energy company operating across exploration, production, refining, and renewables. The company produces approximately 2 million barrels of oil equivalent per day from assets in Norway, Brazil, the US, and the UK, and is expanding into offshore wind, solar, and hydrogen through its Renewables segment.</w:t>
      </w:r>
    </w:p>
    <w:p>
      <w:r>
        <w:rPr>
          <w:rFonts w:ascii="Calibri" w:hAnsi="Calibri"/>
          <w:b/>
          <w:color w:val="6E8450"/>
          <w:sz w:val="18"/>
        </w:rPr>
        <w:t>23,545 Employees · https://www.equinor.com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Equinor rebranded from Statoil in 2018 to signal energy transition ambitions, but has since retreated — slashing renewables CapEx by 50% for 2024-2027 and retiring its 50% gross CapEx renewables target [3]. Core business remains traditional oil and gas with incremental optimization rather than transformative pivots. AI Deployment (2/2): Equinor reported $130M in AI-driven savings in 2025 alone, with cumulative savings of $330M since 2020 [2]. AI monitors 700+ rotating machines with 24,000 sensors, analyzes seismic data 10x faster, and found a $12M well-planning optimization on Johan Sverdrup phase 3 [2]. Market Share (1/2): Equinor is the largest operator on the Norwegian Continental Shelf and a significant player globally, but is not a category leader or fastest-growing in any segment. Pipeline (0/2): No transformative next-generation products; growth guidance is modest 3% production increase for 2026 with reduced renewables investment [1]. R&amp;D Intensity (1/1): Significant investment in digitalization and AI relative to energy peers, with dedicated AI teams and the Omnia data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Equinor's purpose is 'Turning natural resources into energy for people and progress' — clear but not distinctive, essentially describing what any energy company does without articulating a deeper why. Community Impact (1/2): Norwegian state ownership (67%) creates broad societal benefit through the Government Pension Fund; Equinor employs 23,500 and generates substantial economic activity, but no distinctive charitable programs cited beyond standard corporate initiatives [1]. Employee Retention (1/2): Glassdoor reviews highlight 'good work-life balance,' 'egalitarian Norwegian business culture,' and 'great colleagues' with a flat organizational structure, though complaints about compensation cuts and a ceiling for non-Norwegian employees suggest mixed retention signals [2]. Insider Buying (1/2): Equinor announced a $1.5B share buyback program for 2026 and increased the quarterly dividend to $0.39/share, demonstrating capital return commitment, though state ownership limits traditional insider buying signals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Equinor's financial profile benefits from low leverage and strong cash flow but suffers from cyclically compressed margins. D/E of 77.1% is near target [5]. ROE of 12.2% is below the 15% target but respectable for a cyclical energy company in a lower-price environment. Forward P/E of 13.2x is attractively valued [5]. However, profit margin of just 4.8% (dragged down by $17.6B in non-cash impairments in the broader energy transition write-downs) and negative revenue growth of -5.1% YoY weaken the score [1]. Payout ratio of 75.3% is elevated relative to the 40% target. Consecutive years paid scores well at 20+ years, but consecutive growth years = 0 due to the dividend cut from $0.90/quarter in 2023 to $0.37 in 2025 [5]. The 5yr dividend growth CAGR remains strong at ~20% due to the low 2021 base. Liquidity floor easily cleared: 6.6M avg vol × $41.53 = $274M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Equinor demonstrates mixed infinite game thinking — the company's long heritage as Norway's state energy champion and multi-decade investment horizon reflect endurance-oriented thinking, but the recent retreat from renewables in favor of short-term shareholder returns signals finite-game pressures winning out over the stated energy transition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Equinor's stated purpose of energy transition was undermined when the company slashed renewables investment by 50% and retired its 50% gross CapEx allocation target in 2025 [3]. The pivot back to core oil and gas, while financially rational, suggests the energy transition cause was aspirational rather than deeply held. Sinek would note that a Just Cause that gets abandoned when it becomes expensive was never a true Just Cause — scoring 1 point (cause exists but is shallow when tested).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consistently praise Equinor's flat Norwegian organizational culture, openness, and strong colleague relationships [2]. The egalitarian structure is genuine and creates psychological safety. However, complaints about compensation cuts and concerns that 'executive management is not equipped to make big decisions' suggest trust erosion at the leadership level — scoring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Equinor acknowledges competitors' strengths and uses them as motivation to improve — the company benchmarks against Shell, BP, and TotalEnergies on operational efficiency and safety, and specifically studies Ørsted's renewables success to inform its own strategy [2]. Management frames competition as driving improvement rather than market domination — scoring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2018 rebrand from Statoil to Equinor signaled intent to transform from an oil company to a broad energy company, and the company has built a meaningful 10-12 GW renewables pipeline [3]. However, the 2025 retreat from renewables suggests the transformation was incremental rather than transformative — the company adapted but didn't fundamentally reinvent itself. Scoring 1 point (some flexibility, incremental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Equinor invested heavily in offshore wind (Dogger Bank, Empire Wind) when peers were cautious, showing some courage [3]. But the 2025 CapEx reduction of $4B and retreat from the 50% renewables allocation target, driven by shareholder pressure for returns, shows leadership chose short-term earnings over long-term transition conviction. Scoring 1 point (some courageous decisions but abandoned when costly).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Equinor offers an attractive combination of low valuation (13.2x forward P/E), strong cash generation ($18B operating cash flow in 2025), and significant shareholder returns ($1.5B buyback + $0.39/quarter dividend) [1]. The company's refocus on core oil and gas assets where it has operational excellence, combined with $130M in annual AI-driven efficiency gains, positions it well for sustained free cash flow generation even in a moderate commodity price environment [2]. Production growth guidance of 3% for 2026, CapEx discipline ($13B guided down to $9B by 2027), and the Norwegian Continental Shelf's low-cost, low-carbon intensity barrels provide a quality earnings base [1].</w:t>
      </w:r>
    </w:p>
    <w:p>
      <w:pPr>
        <w:spacing w:after="120"/>
      </w:pPr>
      <w:r>
        <w:rPr>
          <w:rFonts w:ascii="Calibri" w:hAnsi="Calibri"/>
          <w:b w:val="0"/>
          <w:color w:val="3A4A28"/>
          <w:sz w:val="20"/>
        </w:rPr>
        <w:t>The bear case centers on commodity cyclicality and strategic uncertainty. Revenue declined 5.1% YoY and profit margins compressed to just 4.8% as energy prices moderated from 2022 peaks [1]. The retreat from renewables investment, while improving near-term returns, raises questions about long-term positioning as the energy transition accelerates — Equinor cut its renewables CapEx by 50% and retired its 50% target, potentially ceding first-mover advantage to peers like Ørsted and TotalEnergies [3]. The UK ASA greenwashing ruling highlights reputational risk around Equinor's sustainability messaging [3]. Norwegian government ownership (67%) limits corporate flexibility and creates sovereign risk exposure. The dividend was cut from $0.90/quarter in 2023 to $0.37 in 2025, demonstrating income volatility tied to commodity prices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operational efficiency expanding from $130M in 2025 savings toward $200M+ annually, with predictive maintenance and seismic analysis reducing exploration and production costs [2]</w:t>
      </w:r>
    </w:p>
    <w:p>
      <w:pPr>
        <w:spacing w:before="40" w:after="40"/>
        <w:ind w:left="283"/>
      </w:pPr>
      <w:r>
        <w:rPr>
          <w:rFonts w:ascii="Calibri" w:hAnsi="Calibri"/>
          <w:b/>
          <w:color w:val="4A6B25"/>
          <w:sz w:val="20"/>
        </w:rPr>
        <w:t xml:space="preserve">2. </w:t>
      </w:r>
      <w:r>
        <w:rPr>
          <w:rFonts w:ascii="Calibri" w:hAnsi="Calibri"/>
          <w:b w:val="0"/>
          <w:color w:val="3A4A28"/>
          <w:sz w:val="20"/>
        </w:rPr>
        <w:t>Production growth of 3% in 2026 from new project startups including Johan Sverdrup phase 3 and Bacalhau in Brazil, expanding the low-cost barrel portfolio [1]</w:t>
      </w:r>
    </w:p>
    <w:p>
      <w:pPr>
        <w:spacing w:before="40" w:after="40"/>
        <w:ind w:left="283"/>
      </w:pPr>
      <w:r>
        <w:rPr>
          <w:rFonts w:ascii="Calibri" w:hAnsi="Calibri"/>
          <w:b/>
          <w:color w:val="4A6B25"/>
          <w:sz w:val="20"/>
        </w:rPr>
        <w:t xml:space="preserve">3. </w:t>
      </w:r>
      <w:r>
        <w:rPr>
          <w:rFonts w:ascii="Calibri" w:hAnsi="Calibri"/>
          <w:b w:val="0"/>
          <w:color w:val="3A4A28"/>
          <w:sz w:val="20"/>
        </w:rPr>
        <w:t>CapEx reduction from $13B to $9B by 2027 while maintaining production growth, significantly improving free cash flow conversion and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Equinor's $18B operating cash flow guidance for 2026 assumes flat prices; a 20% decline in Brent crude could reduce FCF by $5B+ and force further dividend cuts [1]</w:t>
      </w:r>
    </w:p>
    <w:p>
      <w:pPr>
        <w:spacing w:before="40" w:after="40"/>
        <w:ind w:left="283"/>
      </w:pPr>
      <w:r>
        <w:rPr>
          <w:rFonts w:ascii="Calibri" w:hAnsi="Calibri"/>
          <w:b/>
          <w:color w:val="4A6B25"/>
          <w:sz w:val="20"/>
        </w:rPr>
        <w:t xml:space="preserve">2. </w:t>
      </w:r>
      <w:r>
        <w:rPr>
          <w:rFonts w:ascii="Calibri" w:hAnsi="Calibri"/>
          <w:b w:val="0"/>
          <w:color w:val="3A4A28"/>
          <w:sz w:val="20"/>
        </w:rPr>
        <w:t>Energy transition strategic risk — the 50% cut in renewables CapEx may leave Equinor stranded if regulatory pressure accelerates decarbonization timelines, particularly in European markets [3]</w:t>
      </w:r>
    </w:p>
    <w:p>
      <w:pPr>
        <w:spacing w:before="40" w:after="40"/>
        <w:ind w:left="283"/>
      </w:pPr>
      <w:r>
        <w:rPr>
          <w:rFonts w:ascii="Calibri" w:hAnsi="Calibri"/>
          <w:b/>
          <w:color w:val="4A6B25"/>
          <w:sz w:val="20"/>
        </w:rPr>
        <w:t xml:space="preserve">3. </w:t>
      </w:r>
      <w:r>
        <w:rPr>
          <w:rFonts w:ascii="Calibri" w:hAnsi="Calibri"/>
          <w:b w:val="0"/>
          <w:color w:val="3A4A28"/>
          <w:sz w:val="20"/>
        </w:rPr>
        <w:t>Greenwashing and ESG reputational risk — the UK ASA ruling and broader scrutiny of Equinor dropping ESG terms from loan facilities could affect the company's social license to operate and access to ESG-sensitive capital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Equinor's core business — extracting hydrocarbons from subsea reservoirs and operating offshore platforms — is fundamentally physical and cannot be replaced by AI [2]. Oil and gas production requires massive capital infrastructure, regulatory permits, and decades of geological expertise. AI actually increases demand for energy (data center power consumption), making Equinor a net beneficiary of the AI buildout. The company's operations are protected by physical-world moats, government concessions, and deep regulatory barriers. AI Opportunity (1/1): Equinor generated $130M in quantifiable AI savings in 2025 through predictive maintenance, seismic analysis acceleration, and well-planning optimization, with $330M cumulative since 2020 [2]. The company deploys AI across its entire operations through platforms like Omnia, Prevent, and AIM.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Equinor Q4 2025 Earnings Release — $106.5B annual revenue, $18B operating cash flow, 3% production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Equinor Newsroom — 'AI Saved Equinor $130M in 2025,' January 7, 2026; Equinor digitalization and AI strategy pages</w:t>
      </w:r>
    </w:p>
    <w:p>
      <w:pPr>
        <w:spacing w:before="20" w:after="20"/>
        <w:ind w:left="170"/>
      </w:pPr>
      <w:r>
        <w:rPr>
          <w:rFonts w:ascii="Calibri" w:hAnsi="Calibri"/>
          <w:b/>
          <w:color w:val="4A6B25"/>
          <w:sz w:val="15"/>
        </w:rPr>
        <w:t xml:space="preserve">3. </w:t>
      </w:r>
      <w:r>
        <w:rPr>
          <w:rFonts w:ascii="Calibri" w:hAnsi="Calibri"/>
          <w:b w:val="0"/>
          <w:color w:val="3A4A28"/>
          <w:sz w:val="17"/>
        </w:rPr>
        <w:t>ESG Today, Peters &amp; Peters — Equinor slashes energy transition investment by 50%, UK ASA greenwashing ruling,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Equinor employee reviews, 1,129 reviews, culture and leadership assessments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EQNR (Equinor ASA),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