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EQR</w:t>
      </w:r>
      <w:r>
        <w:rPr>
          <w:rFonts w:ascii="Calibri" w:hAnsi="Calibri"/>
          <w:b/>
          <w:color w:val="1A2010"/>
          <w:sz w:val="40"/>
        </w:rPr>
        <w:t xml:space="preserve">  Equity Residential</w:t>
      </w:r>
    </w:p>
    <w:p>
      <w:pPr>
        <w:spacing w:after="120"/>
      </w:pPr>
      <w:r>
        <w:rPr>
          <w:rFonts w:ascii="Calibri" w:hAnsi="Calibri"/>
          <w:b/>
          <w:color w:val="6E8450"/>
          <w:sz w:val="18"/>
        </w:rPr>
        <w:t>DIVIDEND SLEEVE · 2026-04-13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Equity Residential is an S&amp;P 500 residential REIT owning and operating 312 apartment properties with 85,190 units, concentrated in dynamic coastal and expansion markets including Boston, New York, DC, Seattle, San Francisco, Southern California, Denver, Atlanta, Dallas-Fort Worth and Austin. Founded by Sam Zell, the company focuses on affluent renters seeking premium urban and close-in suburban apartments.</w:t>
      </w:r>
    </w:p>
    <w:p>
      <w:r>
        <w:rPr>
          <w:rFonts w:ascii="Calibri" w:hAnsi="Calibri"/>
          <w:b/>
          <w:color w:val="6E8450"/>
          <w:sz w:val="18"/>
        </w:rPr>
        <w:t>2,400 Employees · https://www.equityapartments.com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Full year 2025 same-store revenue grew 2.6% with same-store NOI up 2.2%; Q4 2025 normalized FFO per share of $1.03 improved 3% YoY though missed consensus [1]. 2026 guidance of normalized FFO $4.08 (2.25% growth) reflects modest momentum as new supply tapers [1][3]. AI Deployment (1/2): Operational centralization and proptech investments in leasing automation are underway, though employee Glassdoor commentary notes that the centralization push has created friction rather than clear productivity wins [2]. Market Share (1/2): Top-tier operator in high-barrier coastal metros with 85,190 premium units, though residential apartment ownership is structurally fragmented and EQR controls a small single-digit share of target markets [1]. Pipeline (1/2): Selective development continuing in Atlanta and expansion markets with declining competitive supply expected to improve pricing power in 2026 [3]. R&amp;D Intensity (0/1): As a REIT, R&amp;D spend is minimal and not a primary competitive lever.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Providing high-quality apartment housing in desirable locations is a defensible but not transcendent mission; corporate responsibility and sustainability targets are well documented [5]. Community Impact (2/2): Named Gold NAREIT DEI award recipient, publishes annual ESG reports, and has an established energy, water, and GHG reduction program with quantified targets [5]. Employee Retention (1/2): Highest full-year resident retention in company history achieved in 2025, but Glassdoor reviews flag mixed leadership experiences with employees citing inconsistent direction and centralization frustrations [2][1]. Insider Buying (0/2): No notable insider accumulation; recent executive transition saw new CIO Robert Garechana and CFO Bret McLeod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Solid investment-grade REIT balance sheet with 4.79% dividend yield supporting the thesis [4]. D/E is elevated at roughly 75-80% typical for residential REITs with $8.48B debt versus REIT equity base [4]. Revenue growth modest at ~2.6% same-store in 2025, with 2026 guidance of 1.2-3.2% reflecting a mature cash-flow vehicle rather than a grower [1][3]. FFO-based valuation of roughly 16x 2026 FFO ($4.08) is in line with peers [3]. Liquidity floor easily cleared given ~$25B market cap and multi-million share daily volume [4]. Dividend has 32+ years of uninterrupted payments with a payout ratio near 70% of FFO, supported by rising retention and durable occupancy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EQR operates a long-duration infinite-game business — owning irreplaceable urban land and 32+ consecutive years of dividend payments demonstrate staying power. However, mixed leadership culture signals, modest growth, and a centralization strategy that has frustrated on-site teams temper the infinite-mindset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Providing quality rental housing in premium locations is a defensible mission, reinforced by 2025's record resident retention [1]. The cause is commercial rather than transformative, and lacks the transcendent 'why' Sinek associates with top-decile infinite players.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cite senior leaders telling staff they 'shouldn't expect direction from leadership,' psychological safety concerns, and market leadership disconnected from on-site realities [2]. Some positive feedback on training and benefits, but the trust signal is mixed.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Competes against AvalonBay, Essex, UDR, Camden and private operators; the industry shares best practices and EQR benchmarks operational metrics but does not publicly celebrate rivals [1]. Declining competitive new supply in 2026 is an industry tailwind acknowledged in guidance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EQR has successfully rotated the portfolio from gateway-only markets toward Sunbelt expansion cities (Atlanta, Dallas, Denver, Austin) over the past five years, showing willingness to reposition [1]. Recent CIO/CFO leadership transitions suggest openness to new operating approaches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Active buybacks and selective development in 2026 despite a cautious macro environment show conviction [1]. However, the centralization initiative rollout has drawn internal criticism, suggesting execution courage may be outpacing change-management discipline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Equity Residential is a blue-chip coastal apartment REIT delivering a 4.79% dividend yield backed by 32+ years of uninterrupted payments and record 2025 resident retention [1][4]. The 2026 setup is constructive — declining new supply in EQR's core markets should improve pricing power, and management guides to 1.2-3.2% same-store revenue growth with normalized FFO of $4.08 (+2.25%) [1][3]. The portfolio of 85,190 premium units in Boston, NYC, DC, Seattle, San Francisco, Southern California plus Sunbelt expansion (Atlanta, Dallas, Denver, Austin) occupies high-barrier-to-entry locations that are fundamentally AI-immune and inflation-hedged. With a Faith Alignment score of +51 (ALIGNED) and strong ESG leadership (Gold NAREIT DEI), EQR fits the IOWN dividend sleeve for investors seeking durable income and modest capital appreciation.</w:t>
      </w:r>
    </w:p>
    <w:p>
      <w:pPr>
        <w:spacing w:after="120"/>
      </w:pPr>
      <w:r>
        <w:rPr>
          <w:rFonts w:ascii="Calibri" w:hAnsi="Calibri"/>
          <w:b w:val="0"/>
          <w:color w:val="3A4A28"/>
          <w:sz w:val="20"/>
        </w:rPr>
        <w:t>The bear case centers on structural growth ceiling and leadership execution. Same-store revenue growth of 2.6% in 2025 and a 2026 midpoint of ~2.2% is barely keeping pace with expense growth (3.0-4.0%), compressing NOI margin [1][3]. The company is highly exposed to supply-heavy Sunbelt markets where rents have actually declined over the past 18 months. Interest expense on the $8.48B debt stack creates sensitivity to refinancing at elevated long rates [4]. Glassdoor commentary on leadership disconnect and the friction around centralization raises cultural execution concerns that could impact the operating leverage story [2]. Climate exposure is real — EQR is among the three REITs most exposed to U.S. sea-level rise, and Q4 FFO missed consensus despite the EPS beat [1][3]. At roughly 16x 2026 FFO, the valuation is reasonable but not cheap, and multiple expansion requires rate cuts more than fundamental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Declining competitive new apartment supply in 2026 improving pricing power and revenue growth into the upper half of 1.2-3.2% guidance [3]</w:t>
      </w:r>
    </w:p>
    <w:p>
      <w:pPr>
        <w:spacing w:before="40" w:after="40"/>
        <w:ind w:left="283"/>
      </w:pPr>
      <w:r>
        <w:rPr>
          <w:rFonts w:ascii="Calibri" w:hAnsi="Calibri"/>
          <w:b/>
          <w:color w:val="4A6B25"/>
          <w:sz w:val="20"/>
        </w:rPr>
        <w:t xml:space="preserve">2. </w:t>
      </w:r>
      <w:r>
        <w:rPr>
          <w:rFonts w:ascii="Calibri" w:hAnsi="Calibri"/>
          <w:b w:val="0"/>
          <w:color w:val="3A4A28"/>
          <w:sz w:val="20"/>
        </w:rPr>
        <w:t>Continued record resident retention driving occupancy and turnover expense reductions, compounding into 2026 NOI [1]</w:t>
      </w:r>
    </w:p>
    <w:p>
      <w:pPr>
        <w:spacing w:before="40" w:after="40"/>
        <w:ind w:left="283"/>
      </w:pPr>
      <w:r>
        <w:rPr>
          <w:rFonts w:ascii="Calibri" w:hAnsi="Calibri"/>
          <w:b/>
          <w:color w:val="4A6B25"/>
          <w:sz w:val="20"/>
        </w:rPr>
        <w:t xml:space="preserve">3. </w:t>
      </w:r>
      <w:r>
        <w:rPr>
          <w:rFonts w:ascii="Calibri" w:hAnsi="Calibri"/>
          <w:b w:val="0"/>
          <w:color w:val="3A4A28"/>
          <w:sz w:val="20"/>
        </w:rPr>
        <w:t>Potential Federal Reserve rate cuts supporting REIT multiple expansion and reducing refinancing costs on the $8.48B debt stack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Same-store expense growth (3.0-4.0%) outpacing revenue growth (1.2-3.2%) at the low end of guidance, compressing NOI margin in 2026 [3]</w:t>
      </w:r>
    </w:p>
    <w:p>
      <w:pPr>
        <w:spacing w:before="40" w:after="40"/>
        <w:ind w:left="283"/>
      </w:pPr>
      <w:r>
        <w:rPr>
          <w:rFonts w:ascii="Calibri" w:hAnsi="Calibri"/>
          <w:b/>
          <w:color w:val="4A6B25"/>
          <w:sz w:val="20"/>
        </w:rPr>
        <w:t xml:space="preserve">2. </w:t>
      </w:r>
      <w:r>
        <w:rPr>
          <w:rFonts w:ascii="Calibri" w:hAnsi="Calibri"/>
          <w:b w:val="0"/>
          <w:color w:val="3A4A28"/>
          <w:sz w:val="20"/>
        </w:rPr>
        <w:t>Sunbelt expansion markets (Atlanta, Dallas, Austin) continuing to experience rent declines from 2022-2024 oversupply, dragging portfolio growth [1]</w:t>
      </w:r>
    </w:p>
    <w:p>
      <w:pPr>
        <w:spacing w:before="40" w:after="40"/>
        <w:ind w:left="283"/>
      </w:pPr>
      <w:r>
        <w:rPr>
          <w:rFonts w:ascii="Calibri" w:hAnsi="Calibri"/>
          <w:b/>
          <w:color w:val="4A6B25"/>
          <w:sz w:val="20"/>
        </w:rPr>
        <w:t xml:space="preserve">3. </w:t>
      </w:r>
      <w:r>
        <w:rPr>
          <w:rFonts w:ascii="Calibri" w:hAnsi="Calibri"/>
          <w:b w:val="0"/>
          <w:color w:val="3A4A28"/>
          <w:sz w:val="20"/>
        </w:rPr>
        <w:t>Leadership culture and centralization execution concerns cited in employee reviews, potentially impacting operational efficiency and AI/proptech rollout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Residential real estate is a fundamentally physical business that AI cannot substitute — people still need to live somewhere, and EQR's irreplaceable coastal urban land positions are AI-immune [1]. AI enhances the business via centralized leasing automation, dynamic pricing algorithms, predictive maintenance, and fraud detection, though employee feedback suggests EQR's current AI/centralization rollout has execution gaps [2]. The revenue base is contractually recurring monthly rent, not discretionary services that could be disintermediated by AI agents. AI Opportunity (1/1): Operating margin expansion through AI-driven property management, smart-home integration, and AI-assisted leasing represents tangible productivity upside as the industry adopts proptech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Equity Residential Q4 2025 Earnings Release and Earnings Call Transcript,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and Simply Wall St Leadership Analysis — Equity Residential,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Equity Residential 2026 Guidance Slides — Investing.com, February 2026</w:t>
      </w:r>
    </w:p>
    <w:p>
      <w:pPr>
        <w:spacing w:before="20" w:after="20"/>
        <w:ind w:left="170"/>
      </w:pPr>
      <w:r>
        <w:rPr>
          <w:rFonts w:ascii="Calibri" w:hAnsi="Calibri"/>
          <w:b/>
          <w:color w:val="4A6B25"/>
          <w:sz w:val="15"/>
        </w:rPr>
        <w:t xml:space="preserve">4. </w:t>
      </w:r>
      <w:r>
        <w:rPr>
          <w:rFonts w:ascii="Calibri" w:hAnsi="Calibri"/>
          <w:b w:val="0"/>
          <w:color w:val="3A4A28"/>
          <w:sz w:val="17"/>
        </w:rPr>
        <w:t>MarketBeat and Stock Analysis — EQR dividend yield, valuation metrics, April 2026</w:t>
      </w:r>
    </w:p>
    <w:p>
      <w:pPr>
        <w:spacing w:before="20" w:after="20"/>
        <w:ind w:left="170"/>
      </w:pPr>
      <w:r>
        <w:rPr>
          <w:rFonts w:ascii="Calibri" w:hAnsi="Calibri"/>
          <w:b/>
          <w:color w:val="4A6B25"/>
          <w:sz w:val="15"/>
        </w:rPr>
        <w:t xml:space="preserve">5. </w:t>
      </w:r>
      <w:r>
        <w:rPr>
          <w:rFonts w:ascii="Calibri" w:hAnsi="Calibri"/>
          <w:b w:val="0"/>
          <w:color w:val="3A4A28"/>
          <w:sz w:val="17"/>
        </w:rPr>
        <w:t>Equity Residential Corporate Responsibility and ESG Reports, 2022-2025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