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EQX</w:t>
      </w:r>
      <w:r>
        <w:rPr>
          <w:rFonts w:ascii="Calibri" w:hAnsi="Calibri"/>
          <w:b/>
          <w:color w:val="1A2010"/>
          <w:sz w:val="40"/>
        </w:rPr>
        <w:t xml:space="preserve">  Equinox Gold Corp.</w:t>
      </w:r>
    </w:p>
    <w:p>
      <w:pPr>
        <w:spacing w:after="120"/>
      </w:pPr>
      <w:r>
        <w:rPr>
          <w:rFonts w:ascii="Calibri" w:hAnsi="Calibri"/>
          <w:b/>
          <w:color w:val="6E8450"/>
          <w:sz w:val="18"/>
        </w:rPr>
        <w:t>GROWTH SLEEVE · 2026-03-27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Equinox Gold is a mid-tier gold producer operating mines across the Americas, including Valentine (Canada), Castle Mountain (USA), Los Filos (Mexico), and Aurizona (Brazil, divested Jan 2026). The company produced a record 922,827 ounces in 2025 and targets 700,000-800,000 ounces in 2026 post-Brazil divestiture.</w:t>
      </w:r>
    </w:p>
    <w:p>
      <w:r>
        <w:rPr>
          <w:rFonts w:ascii="Calibri" w:hAnsi="Calibri"/>
          <w:b/>
          <w:color w:val="6E8450"/>
          <w:sz w:val="18"/>
        </w:rPr>
        <w:t>https://www.equinoxgold.com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Equinox Gold's innovation centers on operational efficiency through mine optimization and expansion studies at Valentine, Castle Mountain, and Los Filos that could add 550,000 ounces of incremental annual production [1]. The Valentine mine ramp to nameplate capacity by Q2 2026 demonstrates project execution capability. However, gold mining is a fundamentally mature industry with limited technology differentiation between operators.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Greg Smith led a transformational 2025 including the Greenstone acquisition, record production, $1.1B debt reduction, and inaugural dividend announcement [1]. The commitment to environmental stewardship and community engagement at mine sites reflects responsible mining practices. However, the company's rapid growth through acquisition creates integration challenges, and limited public information about employee culture and satisfaction constrains the score.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Equinox trades at an attractive forward P/E of 6.5x with manageable D/E of 31.7%, and the $1.1B debt reduction demonstrates aggressive deleveraging [1]. However, trailing ROE of -0.4% reflects 2025 one-time charges, and profit margin of 12.2% is below gold mining peers at current gold prices [2]. Revenue of $2.71B on record production at $3,465/oz average realization is strong, but the Brazil divestiture reduces 2026 production to 700-800K oz.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Equinox Gold demonstrates mixed infinite game characteristics — the ambitious organic growth pipeline (400-500K oz incremental production) and inaugural dividend reflect long-term thinking, but the rapid M&amp;A-driven growth strategy and portfolio churn (buying Greenstone, selling Brazil) suggest a more transactional approach to value creation.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Equinox's stated goal of building a mid-tier gold company through responsible mining and community partnership provides a reasonable purpose [1]. The inaugural dividend and debt reduction signal commitment to sustainable value creation rather than purely growth-for-growth's-sake.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rapid pace of M&amp;A integration (Greenstone merger, Brazil divestiture) creates workforce uncertainty across geographically dispersed operations [1]. Limited public information about employee engagement and retention at individual mine sites constrains assessment.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Equinox competes with Kinross, Eldorado, and other mid-tier gold producers, using rivalry to sharpen operational efficiency and mine-level cost optimization [1]. The focus on AISC reduction to $1,775-$1,875/oz reflects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Brazil divestiture for $1.8B and strategic refocus on Canadian and U.S. operations demonstrates portfolio flexibility [1]. Expansion optionality at Valentine Phase 2, Castle Mountain, and Los Filos provides multiple organic growth paths without requiring further M&amp;A.</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divest profitable Brazil operations to simplify and deleverage was strategically sound but not particularly bold [1]. The Greenstone acquisition at a premium during 2024 showed conviction in asset quality, though integration execution remains in progress.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Equinox Gold offers leveraged gold exposure at 6.5x forward earnings with a transformational growth pipeline that could increase annual production from 750K oz to 1.2M+ oz over five years through Valentine Phase 2, Castle Mountain expansion, and Los Filos optimization [1]. The $1.1B debt reduction and inaugural dividend signal a maturing balance sheet, while record gold prices above $3,400/oz generate substantial free cash flow that management expects will eliminate remaining debt in 2026 [1]. At $12.03/share with analyst targets at $8.63 already exceeded, the stock retains upside if gold prices remain elevated and expansion projects deliver on schedule.</w:t>
      </w:r>
    </w:p>
    <w:p>
      <w:pPr>
        <w:spacing w:after="120"/>
      </w:pPr>
      <w:r>
        <w:rPr>
          <w:rFonts w:ascii="Calibri" w:hAnsi="Calibri"/>
          <w:b w:val="0"/>
          <w:color w:val="3A4A28"/>
          <w:sz w:val="20"/>
        </w:rPr>
        <w:t>The bear case centers on gold price sensitivity — a return to $2,000/oz would compress margins significantly given AISC guidance of $1,775-$1,875/oz, potentially eliminating profitability at marginal mines [1]. The 2026 production step-down to 700-800K oz from 922K oz (Brazil divestiture) creates an optically negative year-over-year comparison, and Q4 2025 revenue already missed expectations by $267.6M [2]. Execution risk on Valentine nameplate ramp, Castle Mountain expansion, and Los Filos community relations adds operational uncertainty, while the $1.8B in debt remaining creates leverage risk in a gold price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Valentine mine reaching nameplate capacity by Q2 2026, validating the Greenstone acquisition thesis and demonstrating project execution capability [1]</w:t>
      </w:r>
    </w:p>
    <w:p>
      <w:pPr>
        <w:spacing w:before="40" w:after="40"/>
        <w:ind w:left="283"/>
      </w:pPr>
      <w:r>
        <w:rPr>
          <w:rFonts w:ascii="Calibri" w:hAnsi="Calibri"/>
          <w:b/>
          <w:color w:val="4A6B25"/>
          <w:sz w:val="20"/>
        </w:rPr>
        <w:t xml:space="preserve">2. </w:t>
      </w:r>
      <w:r>
        <w:rPr>
          <w:rFonts w:ascii="Calibri" w:hAnsi="Calibri"/>
          <w:b w:val="0"/>
          <w:color w:val="3A4A28"/>
          <w:sz w:val="20"/>
        </w:rPr>
        <w:t>Gold price sustained above $3,000/oz generating FCF sufficient to eliminate remaining debt in 2026 and fund organic growth from internal cash flows [1]</w:t>
      </w:r>
    </w:p>
    <w:p>
      <w:pPr>
        <w:spacing w:before="40" w:after="40"/>
        <w:ind w:left="283"/>
      </w:pPr>
      <w:r>
        <w:rPr>
          <w:rFonts w:ascii="Calibri" w:hAnsi="Calibri"/>
          <w:b/>
          <w:color w:val="4A6B25"/>
          <w:sz w:val="20"/>
        </w:rPr>
        <w:t xml:space="preserve">3. </w:t>
      </w:r>
      <w:r>
        <w:rPr>
          <w:rFonts w:ascii="Calibri" w:hAnsi="Calibri"/>
          <w:b w:val="0"/>
          <w:color w:val="3A4A28"/>
          <w:sz w:val="20"/>
        </w:rPr>
        <w:t>Castle Mountain Phase 2 expansion study results expected 2026 that could define a pathway to 200K+ additional annual ounces of production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decline below $2,500/oz would compress margins to near breakeven at AISC of $1,775-$1,875/oz, potentially halting growth investment and dividend payments [1]</w:t>
      </w:r>
    </w:p>
    <w:p>
      <w:pPr>
        <w:spacing w:before="40" w:after="40"/>
        <w:ind w:left="283"/>
      </w:pPr>
      <w:r>
        <w:rPr>
          <w:rFonts w:ascii="Calibri" w:hAnsi="Calibri"/>
          <w:b/>
          <w:color w:val="4A6B25"/>
          <w:sz w:val="20"/>
        </w:rPr>
        <w:t xml:space="preserve">2. </w:t>
      </w:r>
      <w:r>
        <w:rPr>
          <w:rFonts w:ascii="Calibri" w:hAnsi="Calibri"/>
          <w:b w:val="0"/>
          <w:color w:val="3A4A28"/>
          <w:sz w:val="20"/>
        </w:rPr>
        <w:t>Valentine mine ramp delays or operational issues could defer nameplate production beyond Q2 2026, disappointing investors expecting organic growth inflection [1]</w:t>
      </w:r>
    </w:p>
    <w:p>
      <w:pPr>
        <w:spacing w:before="40" w:after="40"/>
        <w:ind w:left="283"/>
      </w:pPr>
      <w:r>
        <w:rPr>
          <w:rFonts w:ascii="Calibri" w:hAnsi="Calibri"/>
          <w:b/>
          <w:color w:val="4A6B25"/>
          <w:sz w:val="20"/>
        </w:rPr>
        <w:t xml:space="preserve">3. </w:t>
      </w:r>
      <w:r>
        <w:rPr>
          <w:rFonts w:ascii="Calibri" w:hAnsi="Calibri"/>
          <w:b w:val="0"/>
          <w:color w:val="3A4A28"/>
          <w:sz w:val="20"/>
        </w:rPr>
        <w:t>Los Filos community relations and Mexican regulatory risk could disrupt operations at the company's largest mine by production capacity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has modest positive impact on gold mining through autonomous vehicles, drill optimization, geological modeling, and predictive maintenance [1]. Equinox Gold can leverage AI tools for mine planning and cost reduction, but the core business of extracting gold from the earth remains capital and labor intensive with limited AI disruption risk. AI neither threatens nor transforms the competitive landscape in mid-tier gold mining.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Equinox Gold Q4 and Full Year 2025 Results; 2026 Production and Cost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EQX key statistics and analyst estimates, accessed March 2026; GuruFocus — EQX Q4 earnings analysis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