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ERIC</w:t>
      </w:r>
      <w:r>
        <w:rPr>
          <w:rFonts w:ascii="Calibri" w:hAnsi="Calibri"/>
          <w:b/>
          <w:color w:val="1A2010"/>
          <w:sz w:val="40"/>
        </w:rPr>
        <w:t xml:space="preserve">  Telefonaktiebolaget LM Ericsson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Sweden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Ericsson is a global leader in mobile connectivity solutions, providing network infrastructure, software, and services to communications service providers, enterprises, and the public sector. The company is a dominant player in 5G radio access network (RAN) equipment and is expanding into enterprise 5G and defense markets.</w:t>
      </w:r>
    </w:p>
    <w:p>
      <w:r>
        <w:rPr>
          <w:rFonts w:ascii="Calibri" w:hAnsi="Calibri"/>
          <w:b/>
          <w:color w:val="6E8450"/>
          <w:sz w:val="18"/>
        </w:rPr>
        <w:t>88,027 Employees · https://www.ericsson.com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Ericsson has navigated the transition from 4G to 5G infrastructure and expanded into enterprise and defense markets, with Cloud Software and Services growing 12% organically in Q4 2025 [1]. AI Deployment (1/2): The company is investing in AI-native, secure, and autonomous mobile networks, but specific AI revenue or cost-savings metrics are not quantified [1]. Market Share Leadership (2/2): Ericsson holds the #1 or #2 position globally in 5G RAN equipment alongside Nokia, with dominant share in North American carrier networks [1]. Product Pipeline (0/2): R&amp;D investments continue for 6G and AI-native networks, but specific next-gen product timelines are vague beyond general 2026 enterprise growth targets [1]. R&amp;D Intensity (1/1): R&amp;D spending is industry-leading among telecom equipment vendors, a key competitive advantage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Ericsson's purpose centers on enabling connectivity and digital transformation globally, which is meaningful but expressed in technical rather than aspirational terms [2]. Community Impact (1/2): The company has extensive ESG reporting under ESRS standards and community connectivity programs, though these are primarily tied to commercial deployments [3]. Employee Retention (1/2): Aggressive layoffs — 5,000+ jobs cut in 2025 with further reductions in 2026, including 1,600 in Sweden — have damaged employee morale and trust [3]. Insider Buying (1/2): Board proposed increased dividend to SEK 3.00 and SEK 15B buyback, showing some insider confidence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Ericsson shows improving fundamentals with D/E of 36.5% well below the 70% target, ROE of 28.3% significantly above the 15% threshold, and profit margin of 12.0% [1]. Forward P/E of 16.5 is reasonable, and the company holds SEK 61.2B in net cash [1]. Revenue declined 5% on a reported basis but grew 2% organically in 2025, with a flat RAN market expected in 2026 [1]. Dividend yield of 2.78% with a conservative payout ratio of 33.5% [1]. Daily dollar volume of ~$110M passes the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Ericsson's 148-year history and commitment to R&amp;D investment demonstrate infinite-game DNA, but the current cycle of aggressive cost-cutting and layoffs reflects finite-game pressures from a flat RAN market and investor demands for margin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global connectivity and bridging the digital divide is a meaningful cause, but Ericsson's articulation is more technical than inspirational, focused on market leadership rather than societal transformation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Cutting 5,000+ jobs in 2025 with further reductions planned in 2026, including 1,600 in the home market of Sweden, has severely undermined employee trust and organizational stability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Ericsson competes fiercely but respectfully against Nokia and Huawei, using R&amp;D leadership and patent portfolios rather than price wars to maintain market position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toward enterprise 5G, defense, and Cloud Software &amp; Services (12% organic growth) shows willingness to evolve beyond carrier-dependent revenue, though execution is early-stage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Ekholm has made difficult decisions on headcount and portfolio focus, and the investment in defense 5G shows forward-looking strategic courage despite near-term pain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Ericsson offers a compelling turnaround story with EBITA margins expanding to 18.3% (up from 11.5% two years ago), a net cash position of SEK 61.2B, and ROE of 28.3% driven by aggressive cost restructuring [1]. The company's market leadership in 5G RAN and expansion into high-growth enterprise and defense markets provide multiple growth vectors as global 5G deployment continues. The proposed SEK 15B buyback and dividend increase signal management confidence, while a forward P/E of 16.5 and conservative 33.5% payout ratio offer a reasonable entry point for a cyclical recovery in telecom capex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 structurally flat RAN market that may not recover meaningfully until 6G deployment cycles begin, leaving Ericsson dependent on cost-cutting rather than top-line growth for margin expansion [1]. Revenue declined 5% reported in 2025 with negative 5-year revenue CAGR, and ongoing layoffs erode institutional knowledge and innovation capacity. Open RAN initiatives and Huawei's market dominance outside the West create long-term competitive threats, while forward P/E of 16.5 is elevated relative to the flat growth profile and suggests limited margin of safety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Enterprise and defense 5G revenue ramp could accelerate beyond current Cloud Software &amp; Services growth rate of 12% organically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Completion of cost restructuring in 2026 with full benefit of 10,000+ headcount reductions flowing through to margins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6G standards development cycle beginning to generate next-generation R&amp;D investment returns from Ericsson's patent leadership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Flat-to-declining RAN market creates a structural ceiling on core revenue growth until the next capex cycle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Aggressive layoffs of 10,000+ employees risk degrading R&amp;D capabilities and institutional knowledge that underpin technology leadership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Open RAN adoption by carriers could commoditize radio access network hardware, eroding Ericsson's pricing power and competitive moat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Ericsson's physical network infrastructure business — designing, manufacturing, and deploying 5G RAN equipment — has strong defensive moats that AI cannot replicate [1]. The installed base of carrier networks creates high switching costs and long replacement cycles. However, software-defined networking and Open RAN initiatives could commoditize some functionality over time. AI Opportunity (1/1): Ericsson is actively deploying AI for network optimization, autonomous network management, and predictive maintenance, positioning AI as an enabler of its core business rather than a threat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Ericsson Q4 and Full Year 2025 Earnings Release,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Ericsson Investor Relations and Company Website,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Ericsson Layoff Announcements and ESG Reporting,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ERIC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