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ERNA</w:t>
      </w:r>
      <w:r>
        <w:rPr>
          <w:rFonts w:ascii="Calibri" w:hAnsi="Calibri"/>
          <w:b/>
          <w:color w:val="1A2010"/>
          <w:sz w:val="40"/>
        </w:rPr>
        <w:t xml:space="preserve">  Ernexa Therapeutics Inc.</w:t>
      </w:r>
    </w:p>
    <w:p>
      <w:pPr>
        <w:spacing w:after="120"/>
      </w:pPr>
      <w:r>
        <w:rPr>
          <w:rFonts w:ascii="Calibri" w:hAnsi="Calibri"/>
          <w:b/>
          <w:color w:val="6E8450"/>
          <w:sz w:val="18"/>
        </w:rPr>
        <w:t>GROWTH SLEEVE · 2026-04-24 · Inspire: 26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Ernexa Therapeutics Inc. (formerly Eterna Therapeutics) is a preclinical-stage biotechnology company developing induced mesenchymal stem cell (iMSC) therapies for cancer and autoimmune disease. Lead programs include ERNA-101 for ovarian cancer and ERNA-201 for rheumatoid arthritis, based on engineered iPSC-derived mesenchymal stem cells that deliver therapeutic cytokines.</w:t>
      </w:r>
    </w:p>
    <w:p>
      <w:r>
        <w:rPr>
          <w:rFonts w:ascii="Calibri" w:hAnsi="Calibri"/>
          <w:b/>
          <w:color w:val="6E8450"/>
          <w:sz w:val="18"/>
        </w:rPr>
        <w:t>5 Employees · https://www.ernexatx.com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Ernexa's iPSC-derived mesenchymal stem cell platform represents a novel approach to cell therapy, but the company has no marketed products, no clinical data, and remains preclinical with its lead candidate ERNA-101 targeting an IND filing for early 2026 [1]. Innovation track record is minimal — the company rebranded from Eterna Therapeutics in March 2025 and pivoted its strategic focus to ovarian cancer and autoimmune disease, but this represents a restart rather than a track record of successful launches (0 points) [3]. No AI deployment (0 points). No market share in any category (0 points). The pipeline includes ERNA-101 (ovarian cancer) and ERNA-201 (rheumatoid arthritis) with IND timelines (1 point). R&amp;D spending relative to revenue is technically infinite as the company generates zero product revenue, but absolute R&amp;D spend is minimal given only 5 employees and $5.5M market cap (1 point).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Sanjeev Luther describes Ernexa as entering 'a new era of evolution and growth' with a focus on 'advancing transformative cell therapy products with real clinical potential' — a specific but unproven mission earning a floor of 2 [3]. With only 5 employees and a $5.5M market cap, the company has no meaningful community or charitable programs (0 points). Employee retention is not measurable for a 5-person company (0 points). No insider buying data is available, and the company's financial distress (going concern doubt, Nasdaq delisting risk) suggests insiders would not be purchasing shares (0 points)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1.77M shares at $0.19/share yields daily dollar volume of $337K, well below the $1M minimum threshold required for IOWN tradability [2]. Beyond the liquidity floor, every financial metric is at or below floor levels: zero revenue, -687% ROE, negative forward P/E (no earnings expected), accumulated deficit of $245.6M, and auditors have raised substantial doubt about the company's ability to continue as a going concern [1]. The company faces Nasdaq delisting risk as shares have traded below $1.00 since February 2026.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Ernexa Therapeutics is too early-stage and financially precarious to demonstrate meaningful infinite-game characteristics. The company's survival is uncertain, with going-concern doubts, Nasdaq delisting risk, and a $5.5M market cap that leaves it fighting for existence rather than playing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Ernexa's stated purpose of developing transformative cell therapies for ovarian cancer and autoimmune disease connects to a genuine health mission, but the company has rebranded and pivoted multiple times (from Eterna to Ernexa, shifting strategic focus), suggesting the cause is still being defined rather than serving as a guiding North Star [3]. A preclinical company with 5 employees and going-concern doubts has not yet proven whether its purpose will survive its first real test. Score: 1 point.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5 full-time employees, Ernexa is too small for meaningful organizational trust assessment [2]. The company has experienced significant leadership turnover, including the appointment of CEO Luther in January 2024 and board changes including Dr. Elena Ratner joining after Dorothy Clarke's resignation [4]. The Nasdaq delisting risk and going-concern doubts create an existentially uncertain environment for any team. Score: 0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Ernexa operates in the cell therapy space alongside well-funded competitors like Mesoblast, Athersys, and major pharma cell therapy programs, but the company's communications show no evidence of acknowledging competitors' strengths or framing competition as a learning opportunity [3]. At this scale, survival is the primary concern rather than competitive positioning. Score: 0 points.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rebrand from Eterna to Ernexa and the strategic pivot to ovarian cancer and autoimmune disease represent a form of flexibility, but this appears driven by desperation (failed prior strategies, accumulated $245.6M deficit) rather than a cause-driven reinvention [1][3]. The company is too early-stage and under-resourced to have demonstrated genuine existential flexibility. Score: 0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Luther's decision to take the helm of a near-insolvent preclinical biotech and pursue a strategic reset represents personal courage, and the team raised $9.6M in net proceeds to fund operations despite dire financial circumstances [1]. However, these actions reflect survival necessity rather than the kind of costly long-term investment Sinek envisions. The willingness to pursue a first-in-class cell therapy approach with minimal resources shows ambition but the execution risk is extreme. Score: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Ernexa Therapeutics' iPSC-derived mesenchymal stem cell platform targeting ovarian cancer (ERNA-101) and rheumatoid arthritis (ERNA-201) represents a high-risk, high-reward cell therapy approach with potential first-in-class status if clinical trials validate the mechanism [3]. CEO Luther's appointment brought strategic focus, and the $9.6M capital raise provides near-term runway to advance the IND filing [1]. If ERNA-101 demonstrates clinical proof-of-concept, the $5.5M market cap offers extreme upside potential.</w:t>
      </w:r>
    </w:p>
    <w:p>
      <w:pPr>
        <w:spacing w:after="120"/>
      </w:pPr>
      <w:r>
        <w:rPr>
          <w:rFonts w:ascii="Calibri" w:hAnsi="Calibri"/>
          <w:b w:val="0"/>
          <w:color w:val="3A4A28"/>
          <w:sz w:val="20"/>
        </w:rPr>
        <w:t>The bear case is overwhelming: Ernexa is a preclinical-stage company with zero product revenue, 5 employees, a $5.5M market cap, and $245.6M accumulated deficit [1][2]. Auditors have raised substantial doubt about the company's ability to continue as a going concern, and shares face Nasdaq delisting after trading below $1.00 since February 2026. The $9.6M capital raise provides limited runway, and any clinical trial would require substantially more funding through dilutive equity offerings. The company has rebranded and pivoted strategy multiple times, with no clinical data to validate its iPSC-derived cell therapy platform. Daily dollar volume of $337K means any meaningful position is untradeable without severe market impact. This is a speculative micro-cap with near-zero probability-weighted expected value for institutional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IND filing for ERNA-101 (ovarian cancer) expected in early 2026 could validate the iPSC-derived iMSC platform and attract partnership interest from larger pharma companies [3]</w:t>
      </w:r>
    </w:p>
    <w:p>
      <w:pPr>
        <w:spacing w:before="40" w:after="40"/>
        <w:ind w:left="283"/>
      </w:pPr>
      <w:r>
        <w:rPr>
          <w:rFonts w:ascii="Calibri" w:hAnsi="Calibri"/>
          <w:b/>
          <w:color w:val="4A6B25"/>
          <w:sz w:val="20"/>
        </w:rPr>
        <w:t xml:space="preserve">2. </w:t>
      </w:r>
      <w:r>
        <w:rPr>
          <w:rFonts w:ascii="Calibri" w:hAnsi="Calibri"/>
          <w:b w:val="0"/>
          <w:color w:val="3A4A28"/>
          <w:sz w:val="20"/>
        </w:rPr>
        <w:t>Potential Nasdaq compliance recovery if stock price returns above $1.00 within the 180-day grace period, avoiding delisting that would further impair liquidity and investor access [4]</w:t>
      </w:r>
    </w:p>
    <w:p>
      <w:pPr>
        <w:spacing w:before="40" w:after="40"/>
        <w:ind w:left="283"/>
      </w:pPr>
      <w:r>
        <w:rPr>
          <w:rFonts w:ascii="Calibri" w:hAnsi="Calibri"/>
          <w:b/>
          <w:color w:val="4A6B25"/>
          <w:sz w:val="20"/>
        </w:rPr>
        <w:t xml:space="preserve">3. </w:t>
      </w:r>
      <w:r>
        <w:rPr>
          <w:rFonts w:ascii="Calibri" w:hAnsi="Calibri"/>
          <w:b w:val="0"/>
          <w:color w:val="3A4A28"/>
          <w:sz w:val="20"/>
        </w:rPr>
        <w:t>Preclinical data readouts for ERNA-201 (rheumatoid arthritis) could demonstrate platform versatility and expand the addressable market for the iMSC technology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doubt raised by auditors with $245.6M accumulated deficit and zero product revenue — the company may not survive long enough to reach clinical trials without additional dilutive financing [1]</w:t>
      </w:r>
    </w:p>
    <w:p>
      <w:pPr>
        <w:spacing w:before="40" w:after="40"/>
        <w:ind w:left="283"/>
      </w:pPr>
      <w:r>
        <w:rPr>
          <w:rFonts w:ascii="Calibri" w:hAnsi="Calibri"/>
          <w:b/>
          <w:color w:val="4A6B25"/>
          <w:sz w:val="20"/>
        </w:rPr>
        <w:t xml:space="preserve">2. </w:t>
      </w:r>
      <w:r>
        <w:rPr>
          <w:rFonts w:ascii="Calibri" w:hAnsi="Calibri"/>
          <w:b w:val="0"/>
          <w:color w:val="3A4A28"/>
          <w:sz w:val="20"/>
        </w:rPr>
        <w:t>Nasdaq delisting risk as stock has traded below $1.00 since February 2026, with potential forced migration to OTC markets that would further destroy liquidity and institutional investor access [4]</w:t>
      </w:r>
    </w:p>
    <w:p>
      <w:pPr>
        <w:spacing w:before="40" w:after="40"/>
        <w:ind w:left="283"/>
      </w:pPr>
      <w:r>
        <w:rPr>
          <w:rFonts w:ascii="Calibri" w:hAnsi="Calibri"/>
          <w:b/>
          <w:color w:val="4A6B25"/>
          <w:sz w:val="20"/>
        </w:rPr>
        <w:t xml:space="preserve">3. </w:t>
      </w:r>
      <w:r>
        <w:rPr>
          <w:rFonts w:ascii="Calibri" w:hAnsi="Calibri"/>
          <w:b w:val="0"/>
          <w:color w:val="3A4A28"/>
          <w:sz w:val="20"/>
        </w:rPr>
        <w:t>Preclinical iPSC-derived cell therapy platform is unvalidated in humans — the vast majority of preclinical biotech programs fail in clinical trials, and ERNA has no clinical data to de-risk this probability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Ernexa's core business of developing novel cell therapies from iPSC-derived mesenchymal stem cells is structurally protected from AI disruption. Cell therapy development requires wet-lab biology, clinical trials, and FDA regulatory processes that AI cannot replicate or substitute [3]. AI tools may assist in drug discovery and target identification, but the physical manufacturing of cell therapies and the regulatory pathway are immune to AI displacement. Ernexa earns 7 points on AI Risk Protection (PROTECTED). The company does not generate any AI-related revenue (0 points on AI opportunity).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Ernexa Therapeutics Quarterly Earnings Results and Financial Disclosures, March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ERNA key statistics,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Ernexa Therapeutics Corporate Website and CEO Sanjeev Luther Announcement, 2024-2025</w:t>
      </w:r>
    </w:p>
    <w:p>
      <w:pPr>
        <w:spacing w:before="20" w:after="20"/>
        <w:ind w:left="170"/>
      </w:pPr>
      <w:r>
        <w:rPr>
          <w:rFonts w:ascii="Calibri" w:hAnsi="Calibri"/>
          <w:b/>
          <w:color w:val="4A6B25"/>
          <w:sz w:val="15"/>
        </w:rPr>
        <w:t xml:space="preserve">4. </w:t>
      </w:r>
      <w:r>
        <w:rPr>
          <w:rFonts w:ascii="Calibri" w:hAnsi="Calibri"/>
          <w:b w:val="0"/>
          <w:color w:val="3A4A28"/>
          <w:sz w:val="17"/>
        </w:rPr>
        <w:t>SEC Filings — Nasdaq Compliance Notifications and Board Changes,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