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ESRT</w:t>
      </w:r>
      <w:r>
        <w:rPr>
          <w:rFonts w:ascii="Calibri" w:hAnsi="Calibri"/>
          <w:b/>
          <w:color w:val="1A2010"/>
          <w:sz w:val="40"/>
        </w:rPr>
        <w:t xml:space="preserve">  Empire State Realty Trust, Inc.</w:t>
      </w:r>
    </w:p>
    <w:p>
      <w:pPr>
        <w:spacing w:after="120"/>
      </w:pPr>
      <w:r>
        <w:rPr>
          <w:rFonts w:ascii="Calibri" w:hAnsi="Calibri"/>
          <w:b/>
          <w:color w:val="6E8450"/>
          <w:sz w:val="18"/>
        </w:rPr>
        <w:t>DIVIDEND SLEEVE · 2026-04-24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Empire State Realty Trust is a NYC-focused REIT that owns and operates a portfolio of modernized office, retail, and multifamily assets totaling approximately 7.9 million rentable square feet of office space, 0.8 million square feet of retail, and 743 residential units. Its flagship Empire State Building features the iconic Observatory attraction.</w:t>
      </w:r>
    </w:p>
    <w:p>
      <w:r>
        <w:rPr>
          <w:rFonts w:ascii="Calibri" w:hAnsi="Calibri"/>
          <w:b/>
          <w:color w:val="6E8450"/>
          <w:sz w:val="18"/>
        </w:rPr>
        <w:t>642 Employees · https://www.esrtreit.com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 point — ESRT has executed a meaningful modernization program over the past 5 years, repositioning its office portfolio as top-of-tier with amenitized, energy-efficient spaces and expanding into multifamily with 743 residential units [1]. However, the core business model remains traditional office/retail REIT. AI Deployment: 1 point — the company has deployed smart building technology for energy management and tenant experience, contributing to its GRESB 5-Star rating [3]. Market Share Leadership: 1 point — the Empire State Building Observatory is a unique, irreplaceable asset generating premium revenue, though ESRT is a small player in the NYC office REIT market at $937M market cap [2]. Product Pipeline: 0 points — no specific next-generation developments announced with timelines. R&amp;D Intensity: 1 point — above-average for REITs in sustainability technology investment, with commitment to 100% renewable energy across the portfolio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points — ESRT positions itself as a 'recognized leader in energy efficiency and indoor environmental quality,' connecting its work to sustainability and tenant wellbeing beyond pure profit [1][3]. The mission is clear and specific to ESRT's identity but not transformative. Community &amp; Charitable Impact: 1 point — ESRT's sustainability initiatives including 100% renewable energy and GRESB 5-Star rating represent meaningful environmental stewardship, though specific charitable dollar amounts are not publicly cited [3]. Employee Retention: 1 point — CEO Tony Malkin's leadership has been extended through 2027 with automatic renewals, providing leadership continuity [2]. However, Glassdoor reviews at 3.2/5.0 with 'D' executive team rating on Comparably suggest mixed employee sentiment [2]. Insider Buying: 1 point — insider activity is roughly neutral with no significant net buying or selling patterns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ESRT shows mixed fundamentals: D/E of 131.7% is moderate for a REIT but above the 70% target, while ROE of 4.05% is well below the 15% target [2]. Revenue growth is essentially flat at 0.8% YoY on $768M TTM revenue, and profit margin of 6.2% is thin [1]. The forward P/E of 91.3x is extremely elevated (reflecting low GAAP forward earnings estimates of $0.06), scoring zero on that metric. The 2.55% dividend yield with 56% payout ratio is sustainable, and ESRT has paid dividends for 13 consecutive years since its 2013 IPO. However, the dividend has been flat at $0.035/quarter since at least 2021, contributing zero on growth metrics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ESRT benefits from stewardship of the iconic Empire State Building, which inherently demands long-term thinking. The company's industry-leading sustainability commitment reflects genuine purpose beyond quarterly returns. However, mixed employee culture, flat dividends, and limited strategic reinvention keep it in mixed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 points (display: 7/10) — ESRT's stewardship of the Empire State Building, combined with its industry-leading sustainability commitment (100% renewable energy, GRESB 5-Star for five consecutive years), creates a genuine purpose beyond profit [3]. The company connects its work to environmental stewardship and preserving an iconic piece of American heritage. However, this purpose hasn't been tested through a major strategic crisis, and the financial performance suggests the cause doesn't yet drive competitive advantage.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 points (display: 2/10) — Glassdoor reviews at 3.2/5.0 with executive team rated 'D' on Comparably (bottom 20%) paint a troubling picture [2]. Employee reviews cite 'oppressive work atmosphere with a top down management style,' 'bad management and no room for learning,' and 'Senior Management is horrible.' While CEO Malkin provides leadership continuity through 2027, the evidence suggests a low-trust, hierarchical environment that Sinek would view as fundamentally finite.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 point (display: 10/10) — ESRT's sustainability leadership explicitly benchmarks against industry peers through GRESB rankings, using competitive comparison as motivation to improve rather than simply to win [3]. CEO Malkin's framing of NYC real estate competition focuses on ESRT improving its own buildings to attract tenants rather than attacking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point (display: 6/10) — ESRT has incrementally evolved from a pure office REIT to include multifamily (743 residential units) and expanded its Observatory experience business [1]. The $700M+ building modernization program demonstrates willingness to invest heavily in repositioning. However, no transformative pivot — the core business remains NYC office and retail real estate as it was at the 2013 IPO.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point (display: 6/10) — ESRT invested heavily in building modernization and sustainability when many NYC office landlords were cutting costs, a decision that positioned the portfolio competitively [3]. Management guided for G&amp;A expense reduction to $69-71M from $73M while maintaining capital investment. However, the flat dividend since 2021 suggests conservatism rather than bold reinvestment — the company is managing for stability, not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ESRT offers an irreplaceable trophy asset in the Empire State Building with its Observatory generating premium experiential revenue, combined with a modernized NYC office/retail/multifamily portfolio at a deeply discounted $937M market cap [1][2]. The 2026 core FFO guidance of $0.85-$0.89/share implies an FFO yield of over 15% on the $5.48 stock price, and the company's GRESB 5-Star sustainability leadership positions it for tenant demand from ESG-conscious corporations. The 2.55% dividend yield with a 56% payout ratio is well-covered and leaves room for future increases [1].</w:t>
      </w:r>
    </w:p>
    <w:p>
      <w:pPr>
        <w:spacing w:after="120"/>
      </w:pPr>
      <w:r>
        <w:rPr>
          <w:rFonts w:ascii="Calibri" w:hAnsi="Calibri"/>
          <w:b w:val="0"/>
          <w:color w:val="3A4A28"/>
          <w:sz w:val="20"/>
        </w:rPr>
        <w:t>The bear case centers on structural NYC office headwinds and anemic growth metrics. Revenue grew just 0.8% YoY on $768M, and GAAP profit margin of 6.2% with 4.05% ROE suggest the company is not generating adequate returns on capital [2]. The forward P/E of 91.3x on consensus GAAP EPS of $0.06 is distorted by REIT depreciation accounting but still signals minimal earnings growth. The FDIC vacancy headwind acknowledged in 2026 guidance adds near-term occupancy risk. The dividend has been frozen at $0.035/quarter since 2021 despite rising interest rates and inflation, effectively cutting real income to shareholders. D/E of 131.7% exposes the company to refinancing risk if rates remain elevated. Glassdoor reviews suggest cultural issues that could impair talent retention and operational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FFO guidance of $0.85-$0.89/share for 2026 implies significant upside from current $5.48 price if the market rerates toward FFO-based valuation rather than depressed GAAP earnings [1]</w:t>
      </w:r>
    </w:p>
    <w:p>
      <w:pPr>
        <w:spacing w:before="40" w:after="40"/>
        <w:ind w:left="283"/>
      </w:pPr>
      <w:r>
        <w:rPr>
          <w:rFonts w:ascii="Calibri" w:hAnsi="Calibri"/>
          <w:b/>
          <w:color w:val="4A6B25"/>
          <w:sz w:val="20"/>
        </w:rPr>
        <w:t xml:space="preserve">2. </w:t>
      </w:r>
      <w:r>
        <w:rPr>
          <w:rFonts w:ascii="Calibri" w:hAnsi="Calibri"/>
          <w:b w:val="0"/>
          <w:color w:val="3A4A28"/>
          <w:sz w:val="20"/>
        </w:rPr>
        <w:t>G&amp;A expense reduction to $69-71M from $73M in 2025 demonstrates margin discipline that could flow through to distributable cash flow and support a future dividend increase</w:t>
      </w:r>
    </w:p>
    <w:p>
      <w:pPr>
        <w:spacing w:before="40" w:after="40"/>
        <w:ind w:left="283"/>
      </w:pPr>
      <w:r>
        <w:rPr>
          <w:rFonts w:ascii="Calibri" w:hAnsi="Calibri"/>
          <w:b/>
          <w:color w:val="4A6B25"/>
          <w:sz w:val="20"/>
        </w:rPr>
        <w:t xml:space="preserve">3. </w:t>
      </w:r>
      <w:r>
        <w:rPr>
          <w:rFonts w:ascii="Calibri" w:hAnsi="Calibri"/>
          <w:b w:val="0"/>
          <w:color w:val="3A4A28"/>
          <w:sz w:val="20"/>
        </w:rPr>
        <w:t>NYC office market recovery with return-to-office mandates from major employers could drive occupancy and rent growth across ESRT's 7.9M sq ft office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FDIC vacancy headwind explicitly flagged in 2026 guidance could reduce same-store NOI and delay any recovery in occupancy metrics for the office portfolio [1]</w:t>
      </w:r>
    </w:p>
    <w:p>
      <w:pPr>
        <w:spacing w:before="40" w:after="40"/>
        <w:ind w:left="283"/>
      </w:pPr>
      <w:r>
        <w:rPr>
          <w:rFonts w:ascii="Calibri" w:hAnsi="Calibri"/>
          <w:b/>
          <w:color w:val="4A6B25"/>
          <w:sz w:val="20"/>
        </w:rPr>
        <w:t xml:space="preserve">2. </w:t>
      </w:r>
      <w:r>
        <w:rPr>
          <w:rFonts w:ascii="Calibri" w:hAnsi="Calibri"/>
          <w:b w:val="0"/>
          <w:color w:val="3A4A28"/>
          <w:sz w:val="20"/>
        </w:rPr>
        <w:t>Structural remote/hybrid work trends, potentially accelerated by AI tools, threaten long-term demand for NYC office space, ESRT's largest revenue segment at 7.9M rentable square feet</w:t>
      </w:r>
    </w:p>
    <w:p>
      <w:pPr>
        <w:spacing w:before="40" w:after="40"/>
        <w:ind w:left="283"/>
      </w:pPr>
      <w:r>
        <w:rPr>
          <w:rFonts w:ascii="Calibri" w:hAnsi="Calibri"/>
          <w:b/>
          <w:color w:val="4A6B25"/>
          <w:sz w:val="20"/>
        </w:rPr>
        <w:t xml:space="preserve">3. </w:t>
      </w:r>
      <w:r>
        <w:rPr>
          <w:rFonts w:ascii="Calibri" w:hAnsi="Calibri"/>
          <w:b w:val="0"/>
          <w:color w:val="3A4A28"/>
          <w:sz w:val="20"/>
        </w:rPr>
        <w:t>Frozen quarterly dividend of $0.035 since 2021 signals management lacks confidence in sustainable earnings growth, and the 4.05% ROE suggests inadequate returns on the 131.7% leveraged equity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 points — ESRT's core business of owning and operating physical real estate in Manhattan is structurally protected from AI disruption. CEO Tony Malkin has stated that AI is 'unlikely' to eliminate the high-value-added NYC office jobs that drive ESRT's tenant base [2]. The Empire State Building Observatory, generating premium experiential revenue, is completely immune to AI substitution. However, remote work trends accelerated by AI tools create moderate pressure on office occupancy demand, preventing a higher score. AI Opportunity: 1 point — ESRT deploys smart building technology and energy management systems across its portfolio, contributing to operational efficiency and its GRESB 5-Star sustainability 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Empire State Realty Trust Q4 2025 Earnings Release and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ESRT key statistics and price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ESRT Sustainability Report and GRESB Rating,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