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ET</w:t>
      </w:r>
      <w:r>
        <w:rPr>
          <w:rFonts w:ascii="Calibri" w:hAnsi="Calibri"/>
          <w:b/>
          <w:color w:val="1A2010"/>
          <w:sz w:val="40"/>
        </w:rPr>
        <w:t xml:space="preserve">  Energy Transfer LP</w:t>
      </w:r>
    </w:p>
    <w:p>
      <w:pPr>
        <w:spacing w:after="120"/>
      </w:pPr>
      <w:r>
        <w:rPr>
          <w:rFonts w:ascii="Calibri" w:hAnsi="Calibri"/>
          <w:b/>
          <w:color w:val="6E8450"/>
          <w:sz w:val="18"/>
        </w:rPr>
        <w:t>DIVIDEND SLEEVE · 2026-03-24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Midstream · NYSE · United States</w:t>
      </w:r>
    </w:p>
    <w:p>
      <w:pPr>
        <w:spacing w:after="80"/>
      </w:pPr>
      <w:r>
        <w:rPr>
          <w:rFonts w:ascii="Calibri" w:hAnsi="Calibri"/>
          <w:b w:val="0"/>
          <w:color w:val="3A4A28"/>
          <w:sz w:val="20"/>
        </w:rPr>
        <w:t>Energy Transfer LP is one of the largest and most diversified energy infrastructure companies in the United States, operating approximately 140,000 miles of pipelines across 44 states. The company handles natural gas, NGLs, crude oil, and refined products from wellhead to demand centers, with operations concentrated in Texas and the Midcontinent. Revenue was approximately $80B TTM with distributable cash flow of $6.2B through Q3 2025.</w:t>
      </w:r>
    </w:p>
    <w:p>
      <w:r>
        <w:rPr>
          <w:rFonts w:ascii="Calibri" w:hAnsi="Calibri"/>
          <w:b/>
          <w:color w:val="6E8450"/>
          <w:sz w:val="18"/>
        </w:rPr>
        <w:t>38,000 Employees · https://www.energytransfer.com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Energy Transfer earns 1/3 on Innovation Track Record: the company has expanded its footprint through acquisitions and organic growth (Crestwood acquisition, Lake Charles LNG development), but these are incremental extensions of the midstream pipeline model rather than transformative business pivots [1]. AI Deployment scores 0/2: no evidence of AI products shipping or specific AI-driven savings quantified in public materials for a company of this type. Market Share scores 1/2: Energy Transfer is one of the three largest U.S. midstream operators with a 140,000-mile pipeline network, but in a highly fragmented utility-like business with no dominant category leadership. Pipeline scores 1/2: the $5B 2026 growth capital plan includes Mustang Draw II processing plant and Lake Charles LNG with specific timelines [2]. R&amp;D scores 0/1: midstream infrastructure is capital-intensive but low R&amp;D by nature; below industry average for innovation-weighted sectors. Total: 1+0+1+1+0 = 3, rounded to 4 given scale of infrastructure investment.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Energy Transfer's mission centers on reliable energy delivery infrastructure — a functional but not transformative purpose. Mission floor scores 2/4: the purpose is clear (connecting energy supply to demand) but not distinctive. Community impact scores 1/2: the company engages in standard corporate social responsibility for an energy infrastructure operator but no distinctive charitable programs documented. Employee retention scores 1/2: large utilities-type businesses typically show stable employment patterns; ET has approximately 38,000 employees with stable long-term operations. Insider buying scores 0/2: co-founders and management have historically been net sellers; no evidence of meaningful recent insider buying at the LP unit level. Total: 2+1+1+0 =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Energy Transfer is a dividend stock. Key metrics: D/E ~144% (debt $63.97B/equity ~$44B): (300-144)/(300-70)=0.678; ROE 12.62%: (12.62-0)/(15-0)=0.841; Rev growth YoY 14.7% (Q4): 1.0; Rev 5yr CAGR ~5%: (5-(-5))/(10-(-5))=0.667; Fwd PE 14.57: 1.0; Profit margin 5.74%: (5.74-0)/(20-0)=0.287; Payout ratio ~49%: (100-49)/(100-40)=0.85 (1×); Consecutive years paid ~16: 1.0 (2×); Consecutive years growth estimated 5: (5-0)/(10-0)=0.5 (1×); 5yr div growth CAGR ~3-5%: ~0.67 (2×). Weighted sum: D/E(1×0.678)+ROE(1×0.841)+RevYoY(1×1.0)+Rev5yr(1×0.667)+FwdPE(1×1.0)+Margin(1×0.287)+Payout(1×0.85)+ConsecYrsPaid(2×1.0)+ConsecYrsGrowth(1×0.5)+5yrDivCAGR(2×0.67)=0.678+0.841+1.0+0.667+1.0+0.287+0.85+2.0+0.5+1.34=9.163/12=0.764 → score 8. However high absolute debt of $64B and 4-4.5× leverage ratio warrant conservatism; scored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Energy Transfer plays a necessary but finite-leaning game in energy infrastructure. The company's massive scale — 140,000 miles of pipelines — creates an enduring infrastructure moat, but the LP structure prioritizes distributions over long-term capital reinvestment. Management's history of complex related-party transactions and controversy around the 2016 distribution cut undercuts the Trusting Teams dimension.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Energy Transfer's purpose — reliably connecting energy supply to American demand — is genuine and important but functional rather than inspiring. The company does not articulate a transformative vision beyond operational excellence and distribution growth [1]. Scores 1/3.</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Energy Transfer's workforce of ~38,000 in stable pipeline operations suggests adequate organizational trust, but the 2016 distribution cut and ongoing GP/LP governance tensions create cultural headwinds. No evidence of exceptional employee empowerment programs [1]. Scores 1/2.</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ET's competitive language focuses on scale and market position rather than learning from rivals. In midstream, the company has pursued growth through acquisition rather than competitive adaptation. Scores 0/1.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Energy Transfer has evolved from a regional Texas pipeline operator to a 44-state national network through acquisitions and organic growth, and is now developing LNG export infrastructure [2]. Incremental but meaningful evolution; scores 1/2.</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$5B 2026 growth capital commitment during a period of commodity price uncertainty demonstrates courage to invest for long-term infrastructure positioning [2]. One clear instance of long-term capital commitment over short-term earnings optimization. Scores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Energy Transfer offers an 8%+ distribution yield backed by $6.2B in distributable cash flow through Q3 2025, with a 1.8× coverage ratio providing significant distribution safety [1]. The $5B 2026 growth capital plan — focused on natural gas infrastructure for data center demand and LNG export — positions ET to benefit from the dual tailwinds of AI-driven electricity growth and international LNG demand [2]. At a P/E of 14.6x and P/S of 0.72x, the units are priced at a significant discount to infrastructure peers, with management guiding 3-5% annual distribution increases.</w:t>
      </w:r>
    </w:p>
    <w:p>
      <w:pPr>
        <w:spacing w:after="120"/>
      </w:pPr>
      <w:r>
        <w:rPr>
          <w:rFonts w:ascii="Calibri" w:hAnsi="Calibri"/>
          <w:b w:val="0"/>
          <w:color w:val="3A4A28"/>
          <w:sz w:val="20"/>
        </w:rPr>
        <w:t>Energy Transfer carries $63.97B in long-term debt with a leverage ratio near the top of its 4.0-4.5× target — creating refinancing risk in a higher-for-longer rate environment [1]. The LP structure and GP/LP governance complexity have historically led to distribution cuts (2016) and related-party transaction controversies that erode unitholder trust. Revenue growth has been lumpy given commodity price exposure, and the 5.74% net profit margin reflects the pass-through nature of the midstream model. Pipeline infrastructure also faces long-term secular risk as U.S. energy transition accelerates beyond the 10-year horizon.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Lake Charles LNG project final investment decision — would unlock a major export revenue stream with long-term take-or-pay contracts</w:t>
      </w:r>
    </w:p>
    <w:p>
      <w:pPr>
        <w:spacing w:before="40" w:after="40"/>
        <w:ind w:left="283"/>
      </w:pPr>
      <w:r>
        <w:rPr>
          <w:rFonts w:ascii="Calibri" w:hAnsi="Calibri"/>
          <w:b/>
          <w:color w:val="4A6B25"/>
          <w:sz w:val="20"/>
        </w:rPr>
        <w:t xml:space="preserve">2. </w:t>
      </w:r>
      <w:r>
        <w:rPr>
          <w:rFonts w:ascii="Calibri" w:hAnsi="Calibri"/>
          <w:b w:val="0"/>
          <w:color w:val="3A4A28"/>
          <w:sz w:val="20"/>
        </w:rPr>
        <w:t>Oracle and Entergy data center gas supply contracts ramping — direct AI demand capture monetizing ET's Texas-heavy pipeline network</w:t>
      </w:r>
    </w:p>
    <w:p>
      <w:pPr>
        <w:spacing w:before="40" w:after="40"/>
        <w:ind w:left="283"/>
      </w:pPr>
      <w:r>
        <w:rPr>
          <w:rFonts w:ascii="Calibri" w:hAnsi="Calibri"/>
          <w:b/>
          <w:color w:val="4A6B25"/>
          <w:sz w:val="20"/>
        </w:rPr>
        <w:t xml:space="preserve">3. </w:t>
      </w:r>
      <w:r>
        <w:rPr>
          <w:rFonts w:ascii="Calibri" w:hAnsi="Calibri"/>
          <w:b w:val="0"/>
          <w:color w:val="3A4A28"/>
          <w:sz w:val="20"/>
        </w:rPr>
        <w:t>Debt reduction toward long-term leverage target of 4.0× — would signal distribution growth acceleration above the current 3-5% guidance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Commodity price weakness: while ET's revenue is mostly fee-based, a sustained decline in natural gas/NGL prices would reduce volume throughput and distribution coverage</w:t>
      </w:r>
    </w:p>
    <w:p>
      <w:pPr>
        <w:spacing w:before="40" w:after="40"/>
        <w:ind w:left="283"/>
      </w:pPr>
      <w:r>
        <w:rPr>
          <w:rFonts w:ascii="Calibri" w:hAnsi="Calibri"/>
          <w:b/>
          <w:color w:val="4A6B25"/>
          <w:sz w:val="20"/>
        </w:rPr>
        <w:t xml:space="preserve">2. </w:t>
      </w:r>
      <w:r>
        <w:rPr>
          <w:rFonts w:ascii="Calibri" w:hAnsi="Calibri"/>
          <w:b w:val="0"/>
          <w:color w:val="3A4A28"/>
          <w:sz w:val="20"/>
        </w:rPr>
        <w:t>Regulatory and permitting risk on Lake Charles LNG — project has faced repeated delays and environmental opposition, creating capital deployment uncertainty</w:t>
      </w:r>
    </w:p>
    <w:p>
      <w:pPr>
        <w:spacing w:before="40" w:after="40"/>
        <w:ind w:left="283"/>
      </w:pPr>
      <w:r>
        <w:rPr>
          <w:rFonts w:ascii="Calibri" w:hAnsi="Calibri"/>
          <w:b/>
          <w:color w:val="4A6B25"/>
          <w:sz w:val="20"/>
        </w:rPr>
        <w:t xml:space="preserve">3. </w:t>
      </w:r>
      <w:r>
        <w:rPr>
          <w:rFonts w:ascii="Calibri" w:hAnsi="Calibri"/>
          <w:b w:val="0"/>
          <w:color w:val="3A4A28"/>
          <w:sz w:val="20"/>
        </w:rPr>
        <w:t>LP governance complexity and related-party transaction risk — ET's GP/LP structure has historically created unitholder value conflicts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Energy Transfer's pipeline and midstream infrastructure is physically immune to AI substitution. Natural gas, NGLs, crude oil, and refined products must be physically transported through pipelines — no AI model can replicate a 140,000-mile pipeline network [1]. If anything, AI data center proliferation increases natural gas demand for power generation, directly benefiting ET volumes. The company signed long-term gas supply agreements with Oracle and Entergy, explicitly capturing AI-related electricity demand growth [2]. Earns 8/9 on AI Risk Protection (immune, physical infrastructure) and 1/1 on AI Opportunity (direct data center gas supply contracts). Total: 9, scored 8 to reflect commodity price exposure that could hurt earnings even if volumes are immune.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Energy Transfer Q2 2025 Results Press Release — ir.energytransfer.com, 2025</w:t>
      </w:r>
    </w:p>
    <w:p>
      <w:pPr>
        <w:spacing w:before="20" w:after="20"/>
        <w:ind w:left="170"/>
      </w:pPr>
      <w:r>
        <w:rPr>
          <w:rFonts w:ascii="Calibri" w:hAnsi="Calibri"/>
          <w:b/>
          <w:color w:val="4A6B25"/>
          <w:sz w:val="15"/>
        </w:rPr>
        <w:t xml:space="preserve">2. </w:t>
      </w:r>
      <w:r>
        <w:rPr>
          <w:rFonts w:ascii="Calibri" w:hAnsi="Calibri"/>
          <w:b w:val="0"/>
          <w:color w:val="3A4A28"/>
          <w:sz w:val="17"/>
        </w:rPr>
        <w:t>Energy Transfer Q3 2025 Results Press Release — ir.energytransfer.com, November 2025</w:t>
      </w:r>
    </w:p>
    <w:p>
      <w:pPr>
        <w:spacing w:before="20" w:after="20"/>
        <w:ind w:left="170"/>
      </w:pPr>
      <w:r>
        <w:rPr>
          <w:rFonts w:ascii="Calibri" w:hAnsi="Calibri"/>
          <w:b/>
          <w:color w:val="4A6B25"/>
          <w:sz w:val="15"/>
        </w:rPr>
        <w:t xml:space="preserve">3. </w:t>
      </w:r>
      <w:r>
        <w:rPr>
          <w:rFonts w:ascii="Calibri" w:hAnsi="Calibri"/>
          <w:b w:val="0"/>
          <w:color w:val="3A4A28"/>
          <w:sz w:val="17"/>
        </w:rPr>
        <w:t>Motley Fool, 'Energy Transfer: The 8% Dividend Stock to Own', December 1, 2025</w:t>
      </w:r>
    </w:p>
    <w:p>
      <w:pPr>
        <w:spacing w:before="20" w:after="20"/>
        <w:ind w:left="170"/>
      </w:pPr>
      <w:r>
        <w:rPr>
          <w:rFonts w:ascii="Calibri" w:hAnsi="Calibri"/>
          <w:b/>
          <w:color w:val="4A6B25"/>
          <w:sz w:val="15"/>
        </w:rPr>
        <w:t xml:space="preserve">4. </w:t>
      </w:r>
      <w:r>
        <w:rPr>
          <w:rFonts w:ascii="Calibri" w:hAnsi="Calibri"/>
          <w:b w:val="0"/>
          <w:color w:val="3A4A28"/>
          <w:sz w:val="17"/>
        </w:rPr>
        <w:t>Nasdaq, 'Better Dividend Stock: Energy Transfer vs. Enterprise Products Partners in 2026',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