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EVTV</w:t>
      </w:r>
      <w:r>
        <w:rPr>
          <w:rFonts w:ascii="Calibri" w:hAnsi="Calibri"/>
          <w:b/>
          <w:color w:val="1A2010"/>
          <w:sz w:val="40"/>
        </w:rPr>
        <w:t xml:space="preserve">  Envirotech Vehicles, Inc.</w:t>
      </w:r>
    </w:p>
    <w:p>
      <w:pPr>
        <w:spacing w:after="120"/>
      </w:pPr>
      <w:r>
        <w:rPr>
          <w:rFonts w:ascii="Calibri" w:hAnsi="Calibri"/>
          <w:b/>
          <w:color w:val="6E8450"/>
          <w:sz w:val="18"/>
        </w:rPr>
        <w:t>GROWTH SLEEVE · 2026-03-23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Envirotech Vehicles designs and manufactures purpose-built, all-electric, zero-emission commercial vehicles including Class 3-6 trucks, vans, and school buses. The company is pivoting toward AI infrastructure through a proposed merger with AZIO AI Corporation.</w:t>
      </w:r>
    </w:p>
    <w:p>
      <w:r>
        <w:rPr>
          <w:rFonts w:ascii="Calibri" w:hAnsi="Calibri"/>
          <w:b/>
          <w:color w:val="6E8450"/>
          <w:sz w:val="18"/>
        </w:rPr>
        <w:t>22 Employees · https://evtvusa.com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EVTV has delivered minimal commercial traction with only $3.7M TTM revenue and a 34% YoY revenue decline in the last fiscal year [1]. AI Deployment (1/2): The proposed AZIO AI merger signals a pivot toward modular AI and power infrastructure, with on-site engineering validation completed in February 2026 [2]. Market Share (0/2): Negligible market share in the commercial EV space with just 22 employees. Pipeline (1/2): European expansion and AZIO AI merger at $3.00/share represent potential catalysts, though execution risk is extreme [1]. R&amp;D Intensity (1/1): High R&amp;D relative to revenue, though spending reflects the company's micro-cap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Original mission of zero-emission commercial vehicles is specific and environmentally meaningful, but the strategic pivot to AI infrastructure undermines mission coherence [2]. Community Impact (0/2): No evidence of meaningful community programs or environmental benefits at scale. Employee Retention (0/2): Management team average tenure is only 0.8 years, suggesting significant turnover and instability [2]. Insider Buying (1/2): CEO Phillip Oldridge has led since 2020, but the planned leadership change to AZIO AI's CEO Chris Young raises continuity questions.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EVTV has a $22.8M market cap, negative profit margin of -473%, D/E ratio of 213%, and persistent cash flow crises requiring equity issuances to maintain Nasdaq listing compliance [1][3]. Trailing revenue of $3.7M is insufficient to sustain operations, and the company raised $3.1M through dilutive share issuances in late 2025/early 2026. The only analyst rates EVTV as Hold with a $1.50 target. Liquidity floor: 28.4M avg volume x $1.76 = $50M daily turnover passes the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EVTV exhibits finite game characteristics with frequent strategic pivots, a revolving-door leadership team averaging under one year tenure, and desperate capital raises to maintain listing compliance. The proposed wholesale identity change from EV manufacturer to AI infrastructure company suggests survival-mode thinking rather than long-term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original zero-emission vehicle mission was a genuine Just Cause, but the abrupt pivot to AI infrastructure signals opportunistic trend-chasing rather than commitment to a transcendent purpose [2]. The company appears to be chasing whatever narrative drives its stock price.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an average management tenure of just 0.8 years, a planned CEO replacement via the AZIO AI merger, and only 22 employees, there is little evidence of trusting, stable teams [2]. High leadership turnover suggests cultural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EVTV competes against well-capitalized EV manufacturers like Rivian and BYD but lacks the scale, capital, or technology to be a credible competitor. The pivot to AI suggests retreat from competition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AZIO AI merger demonstrates existential flexibility — willingness to fundamentally reimagine the business when the original model proves unviable [2]. However, flexibility driven by financial desperation differs from the visionary pivots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 transformative merger while facing Nasdaq delisting pressure shows boldness, but the pattern of dilutive raises, strategic pivots, and leadership changes resembles survival instinct rather than courageous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bull case rests entirely on the AZIO AI merger transforming EVTV from a struggling micro-cap EV maker into a viable AI infrastructure play. AZIO AI claims $100 million in government revenue and brings an experienced technology leadership team. If the merger closes at $3.00/share and AZIO AI's pipeline materializes, the combined entity could access the booming AI data center market. The company's European expansion and ASPIRE Center membership provide ancillary credibility.</w:t>
      </w:r>
    </w:p>
    <w:p>
      <w:pPr>
        <w:spacing w:after="120"/>
      </w:pPr>
      <w:r>
        <w:rPr>
          <w:rFonts w:ascii="Calibri" w:hAnsi="Calibri"/>
          <w:b w:val="0"/>
          <w:color w:val="3A4A28"/>
          <w:sz w:val="20"/>
        </w:rPr>
        <w:t>The bear case is overwhelming: EVTV has $3.7M in trailing revenue, 22 employees, a -473% profit margin, and has required emergency capital raises to avoid Nasdaq delisting. The AZIO AI merger is not guaranteed to close, and even if it does, competing against hyperscalers and established data center operators with a sub-$25M market cap is nearly impossible. The management team has less than one year average tenure, and the company's identity has shifted from EVs to AI in a way that suggests narrative-chasing rather than genuine strategic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AZIO AI merger closure at $3.00/share would represent 70%+ upside from current levels and fundamentally reposition the company</w:t>
      </w:r>
    </w:p>
    <w:p>
      <w:pPr>
        <w:spacing w:before="40" w:after="40"/>
        <w:ind w:left="283"/>
      </w:pPr>
      <w:r>
        <w:rPr>
          <w:rFonts w:ascii="Calibri" w:hAnsi="Calibri"/>
          <w:b/>
          <w:color w:val="4A6B25"/>
          <w:sz w:val="20"/>
        </w:rPr>
        <w:t xml:space="preserve">2. </w:t>
      </w:r>
      <w:r>
        <w:rPr>
          <w:rFonts w:ascii="Calibri" w:hAnsi="Calibri"/>
          <w:b w:val="0"/>
          <w:color w:val="3A4A28"/>
          <w:sz w:val="20"/>
        </w:rPr>
        <w:t>European transport partnership could unlock new EV revenue streams if commercial traction materializes in H2 2026</w:t>
      </w:r>
    </w:p>
    <w:p>
      <w:pPr>
        <w:spacing w:before="40" w:after="40"/>
        <w:ind w:left="283"/>
      </w:pPr>
      <w:r>
        <w:rPr>
          <w:rFonts w:ascii="Calibri" w:hAnsi="Calibri"/>
          <w:b/>
          <w:color w:val="4A6B25"/>
          <w:sz w:val="20"/>
        </w:rPr>
        <w:t xml:space="preserve">3. </w:t>
      </w:r>
      <w:r>
        <w:rPr>
          <w:rFonts w:ascii="Calibri" w:hAnsi="Calibri"/>
          <w:b w:val="0"/>
          <w:color w:val="3A4A28"/>
          <w:sz w:val="20"/>
        </w:rPr>
        <w:t>AZIO AI's claimed $100M government revenue pipeline, if verified, would transform the company's financial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persists — the company barely cleared minimum stockholders' equity requirements through dilutive raises</w:t>
      </w:r>
    </w:p>
    <w:p>
      <w:pPr>
        <w:spacing w:before="40" w:after="40"/>
        <w:ind w:left="283"/>
      </w:pPr>
      <w:r>
        <w:rPr>
          <w:rFonts w:ascii="Calibri" w:hAnsi="Calibri"/>
          <w:b/>
          <w:color w:val="4A6B25"/>
          <w:sz w:val="20"/>
        </w:rPr>
        <w:t xml:space="preserve">2. </w:t>
      </w:r>
      <w:r>
        <w:rPr>
          <w:rFonts w:ascii="Calibri" w:hAnsi="Calibri"/>
          <w:b w:val="0"/>
          <w:color w:val="3A4A28"/>
          <w:sz w:val="20"/>
        </w:rPr>
        <w:t>AZIO AI merger may fail to close due to regulatory, financing, or stakeholder alignment issues, leaving EVTV without a viable growth path</w:t>
      </w:r>
    </w:p>
    <w:p>
      <w:pPr>
        <w:spacing w:before="40" w:after="40"/>
        <w:ind w:left="283"/>
      </w:pPr>
      <w:r>
        <w:rPr>
          <w:rFonts w:ascii="Calibri" w:hAnsi="Calibri"/>
          <w:b/>
          <w:color w:val="4A6B25"/>
          <w:sz w:val="20"/>
        </w:rPr>
        <w:t xml:space="preserve">3. </w:t>
      </w:r>
      <w:r>
        <w:rPr>
          <w:rFonts w:ascii="Calibri" w:hAnsi="Calibri"/>
          <w:b w:val="0"/>
          <w:color w:val="3A4A28"/>
          <w:sz w:val="20"/>
        </w:rPr>
        <w:t>Extreme dilution risk from continued share issuances — 5.4M new shares issued recently for just $3.1M in gross proceeds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The core EV manufacturing business has moderate physical-world protection, but with only 22 employees and minimal production volume, the moat is paper-thin. The AZIO AI merger would reposition EVTV entirely as an AI infrastructure company, which exposes it to intense competition from well-capitalized players [2]. AI Opportunity (1/1): If the AZIO AI merger closes, EVTV gains direct AI revenue exposure through modular data center and compute solutions, though this remains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Envirotech Vehicles Q3 FY2025 Earnings Release and SEC Filings, 2025</w:t>
      </w:r>
    </w:p>
    <w:p>
      <w:pPr>
        <w:spacing w:before="20" w:after="20"/>
        <w:ind w:left="170"/>
      </w:pPr>
      <w:r>
        <w:rPr>
          <w:rFonts w:ascii="Calibri" w:hAnsi="Calibri"/>
          <w:b/>
          <w:color w:val="4A6B25"/>
          <w:sz w:val="15"/>
        </w:rPr>
        <w:t xml:space="preserve">2. </w:t>
      </w:r>
      <w:r>
        <w:rPr>
          <w:rFonts w:ascii="Calibri" w:hAnsi="Calibri"/>
          <w:b w:val="0"/>
          <w:color w:val="3A4A28"/>
          <w:sz w:val="17"/>
        </w:rPr>
        <w:t>Envirotech Vehicles press releases — AZIO AI merger and European expansion, January-February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EVTV key statistics,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EVTV revenue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