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EWBC</w:t>
      </w:r>
      <w:r>
        <w:rPr>
          <w:rFonts w:ascii="Calibri" w:hAnsi="Calibri"/>
          <w:b/>
          <w:color w:val="1A2010"/>
          <w:sz w:val="40"/>
        </w:rPr>
        <w:t xml:space="preserve">  East West Bancorp,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2026-05-01 · Inspire: 42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Banks - Regional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East West Bancorp operates as the bank holding company for East West Bank, providing personal and commercial banking services with a unique focus on bridging business between the United States and Asia. The bank offers deposit products, commercial and residential real estate loans, trade finance, foreign exchange, and wealth management services.</w:t>
      </w:r>
    </w:p>
    <w:p>
      <w:r>
        <w:rPr>
          <w:rFonts w:ascii="Calibri" w:hAnsi="Calibri"/>
          <w:b/>
          <w:color w:val="6E8450"/>
          <w:sz w:val="18"/>
        </w:rPr>
        <w:t>3,350 Employees · https://www.eastwestbank.com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(1/3): East West Bank has grown steadily as a U.S.-Asia bridge bank, expanding total loans to a record $58.1B and deposits to $68.9B in Q1 2026, but this represents incremental market expansion rather than transformative product launches [1]. AI Deployment (0/2): No evidence of AI-powered products or quantified AI-driven efficiency gains; Glassdoor reviews note outdated processes and lack of innovation culture [4]. Market Share (1/2): East West occupies a meaningful niche as the largest independent bank focused on U.S.-China cross-border commerce, though it is not a category-defining leader [1]. Product Pipeline (0/2): No next-generation banking products or platforms announced with specific timelines. R&amp;D Intensity (0/1): Banks do not report traditional R&amp;D metrics, and no evidence of above-average technology investment relative to regional bank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East West Bank's purpose centers on connecting communities across borders and enabling cross-Pacific commerce — clear and relevant to its niche but not deeply distinctive or inspirational beyond its customer base. Community Impact (1/2): The bank invested $168.98M in affordable housing tax credits during the 12 months ending June 2023, developing and preserving 2,158 units across 18+ states, demonstrating meaningful community reinvestment [5]. Employee Retention (1/2): CEO Dominic Ng's 'Spirit of Ownership' program grants every employee equal annual stock awards, fostering ownership mindset, though Glassdoor reviews cite high turnover concerns and outdated processes [4]. Insider Buying (0/2): No evidence of meaningful net insider buying by executives in the last 12 months was found in research.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East West Bancorp scores exceptionally across all financial metrics. ROE of 16.45% exceeds the 15% target, Q1 2026 delivered 14.1% YoY revenue growth with record fee income of $99M [1]. Forward P/E of 11.2x is well below the 20x target, and profit margin of 50% reflects efficient bank operations [2]. Payout ratio of just 25.97% leaves substantial room for dividend growth, with 27 consecutive years of dividend payments and 15 consecutive years of growth at a 5-year CAGR of 16.9% [3]. Liquidity is ample at ~$138M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East West Bancorp benefits from Dominic Ng's remarkably long 34-year CEO tenure, which provides strategic consistency, but the company's purpose remains oriented around financial performance metrics rather than a transcendent cause. The transformation from S&amp;L to international commercial bank demonstrates some existential flexibility, though the organization shows signs of growing faster than its culture can sustain.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East West Bank's purpose of bridging U.S.-Asia commerce is functional and market-specific but does not articulate a vision of a future state that transcends the business itself. Strategic decisions are framed around growth targets and return metrics — Q1 2026 guidance emphasized 5-7% loan growth and double-digit fee income growth [1] — rather than a cause people would sacrifice to advance.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The 'Spirit of Ownership' stock program distributes equal shares to all employees annually, demonstrating commitment to shared success [4]. However, Glassdoor reviews cite high turnover, outdated processes, and a culture resistant to innovation and new ideas, suggesting the internal environment may not fully empower employees to take risks and challenge leadership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management acknowledging competitors' strengths or framing competitive dynamics as motivation for self-improvement. Earnings commentary focuses on East West's own growth metrics and market positioning rather than learning from rivals in the regional banking space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East West Bank's transformation from a small savings and loan association to a $17B+ market cap international commercial bank under Dominic Ng's leadership represents meaningful strategic evolution over three decades [4]. However, this was an incremental expansion of capabilities rather than a transformative pivot that abandoned a profitable legacy business.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Dominic Ng's 34-year tenure through multiple banking crises — the 2008 financial crisis, pandemic disruptions, and the 2023 regional banking crisis — demonstrates staying power, and the bank maintained its dividend through all cycles. However, no specific examples of sacrificing near-term earnings for long-term capability building were identified in research.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East West Bancorp is a financially excellent regional bank with a unique U.S.-Asia corridor niche that generates industry-leading returns. Q1 2026 delivered record results — $358M net income (+23% YoY), record loans of $58.1B, and record fee income of $99M [1]. The 50% profit margin, 16.45% ROE, and 11.2x forward P/E represent exceptional value for a bank growing revenue at 14% YoY. The dividend profile is outstanding: 25.97% payout ratio with a 16.9% 5-year dividend CAGR and 15 consecutive years of growth, funded by robust earnings power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geopolitical risk — U.S.-China trade tensions, tariffs, and potential regulatory scrutiny of cross-border banking could materially impair East West's competitive advantage. The bank's 2026 loan growth guidance of only 5-7% reflects management caution amid tariff uncertainty [1]. Additionally, the company's low innovation score and Glassdoor complaints about outdated processes suggest a culture that may struggle to modernize as fintech competition intensifies. Concentration in commercial real estate lending also poses credit risk if CRE valuations decline in a higher-rate environment.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U.S.-Asia trade finance demand as companies diversify supply chains beyond China into Southeast Asia, expanding East West's addressable market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Fee income momentum: record $99M in Q1 2026 with management targeting double-digit YoY growth, diversifying revenue beyond net interest income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Dividend growth acceleration: 16.9% 5-year CAGR with payout ratio under 26% provides runway for continued aggressive dividend increases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U.S.-China geopolitical escalation including new tariffs, sanctions, or regulatory restrictions on cross-border banking that could impair East West's core competitive advantage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Commercial real estate concentration risk if CRE valuations decline, particularly in California markets where East West has significant exposure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Cultural and operational stagnation: Glassdoor reviews cite outdated processes and resistance to innovation, which could leave the bank vulnerable to fintech competitors over time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 — PROTECTED): East West Bank's core business — commercial and real estate lending, trade finance, and cross-border banking — is deeply relationship-driven and regulated, creating meaningful switching costs that AI cannot easily displace. The U.S.-Asia corridor niche requires cultural expertise, multilingual capabilities, and regulatory knowledge that insulates the bank from fintech AI disruption [1]. Some back-office functions (loan processing, compliance) face AI automation pressure, but the core revenue drivers — net interest income and relationship-based fee income — remain defensible. AI Opportunity (0/1): No evidence of AI-generated revenue or AI-powered products being offered to customers.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East West Bancorp Q1 2026 Earnings Release — Net income of $358M, EPS $2.57, both up 23% YoY,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Yahoo Finance — EWBC key statistics,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East West Bancorp dividend history via yfinance,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Glassdoor and Comparably — East West Bank employee reviews and culture ratings,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East West Bank 2023 ESG Report — $168.98M affordable housing investment, accessed May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